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E8" w:rsidRPr="000316A0" w:rsidRDefault="00221CE8" w:rsidP="00221CE8">
      <w:pPr>
        <w:pStyle w:val="ConsPlusNonformat"/>
        <w:jc w:val="center"/>
        <w:rPr>
          <w:rFonts w:ascii="Times New Roman" w:hAnsi="Times New Roman" w:cs="Times New Roman"/>
          <w:b/>
          <w:sz w:val="32"/>
          <w:szCs w:val="32"/>
          <w:lang w:val="en-US"/>
        </w:rPr>
      </w:pPr>
      <w:r>
        <w:rPr>
          <w:rFonts w:ascii="Times New Roman" w:hAnsi="Times New Roman" w:cs="Times New Roman"/>
          <w:b/>
          <w:sz w:val="32"/>
          <w:szCs w:val="32"/>
          <w:lang w:val="en-US"/>
        </w:rPr>
        <w:t>Federal State-Funded Educational I</w:t>
      </w:r>
      <w:r w:rsidRPr="000316A0">
        <w:rPr>
          <w:rFonts w:ascii="Times New Roman" w:hAnsi="Times New Roman" w:cs="Times New Roman"/>
          <w:b/>
          <w:sz w:val="32"/>
          <w:szCs w:val="32"/>
          <w:lang w:val="en-US"/>
        </w:rPr>
        <w:t xml:space="preserve">nstitution of </w:t>
      </w:r>
      <w:r>
        <w:rPr>
          <w:rFonts w:ascii="Times New Roman" w:hAnsi="Times New Roman" w:cs="Times New Roman"/>
          <w:b/>
          <w:sz w:val="32"/>
          <w:szCs w:val="32"/>
          <w:lang w:val="en-US"/>
        </w:rPr>
        <w:t>H</w:t>
      </w:r>
      <w:r w:rsidRPr="000316A0">
        <w:rPr>
          <w:rFonts w:ascii="Times New Roman" w:hAnsi="Times New Roman" w:cs="Times New Roman"/>
          <w:b/>
          <w:sz w:val="32"/>
          <w:szCs w:val="32"/>
          <w:lang w:val="en-US"/>
        </w:rPr>
        <w:t xml:space="preserve">igher </w:t>
      </w:r>
      <w:r>
        <w:rPr>
          <w:rFonts w:ascii="Times New Roman" w:hAnsi="Times New Roman" w:cs="Times New Roman"/>
          <w:b/>
          <w:sz w:val="32"/>
          <w:szCs w:val="32"/>
          <w:lang w:val="en-US"/>
        </w:rPr>
        <w:t>Education "Smolensk State Medical U</w:t>
      </w:r>
      <w:r w:rsidRPr="000316A0">
        <w:rPr>
          <w:rFonts w:ascii="Times New Roman" w:hAnsi="Times New Roman" w:cs="Times New Roman"/>
          <w:b/>
          <w:sz w:val="32"/>
          <w:szCs w:val="32"/>
          <w:lang w:val="en-US"/>
        </w:rPr>
        <w:t>niversity" of Ministry of Healthcare of the Russian Federation</w:t>
      </w:r>
    </w:p>
    <w:p w:rsidR="00221CE8" w:rsidRPr="00C41EB2" w:rsidRDefault="00221CE8" w:rsidP="00221CE8">
      <w:pPr>
        <w:rPr>
          <w:rFonts w:ascii="Times New Roman" w:eastAsia="Times New Roman" w:hAnsi="Times New Roman" w:cs="Times New Roman"/>
          <w:lang w:val="en-US" w:eastAsia="ru-RU"/>
        </w:rPr>
      </w:pPr>
    </w:p>
    <w:p w:rsidR="00221CE8" w:rsidRPr="00286D1B" w:rsidRDefault="00221CE8" w:rsidP="00221CE8">
      <w:pPr>
        <w:widowControl w:val="0"/>
        <w:autoSpaceDE w:val="0"/>
        <w:autoSpaceDN w:val="0"/>
        <w:spacing w:after="0" w:line="240" w:lineRule="auto"/>
        <w:jc w:val="center"/>
        <w:rPr>
          <w:rFonts w:ascii="Times New Roman" w:hAnsi="Times New Roman"/>
          <w:sz w:val="28"/>
          <w:szCs w:val="28"/>
          <w:lang w:val="en-US" w:eastAsia="ru-RU"/>
        </w:rPr>
      </w:pPr>
      <w:r w:rsidRPr="00286D1B">
        <w:rPr>
          <w:rFonts w:ascii="Times New Roman" w:hAnsi="Times New Roman"/>
          <w:sz w:val="28"/>
          <w:szCs w:val="28"/>
          <w:lang w:val="en-US" w:eastAsia="ru-RU"/>
        </w:rPr>
        <w:t>Department of Neuroscience, Physiotherapy and Reflex Therapy of the Faculty of Additional Professional Education of Smolensk State Medical University</w:t>
      </w:r>
    </w:p>
    <w:p w:rsidR="00221CE8" w:rsidRPr="00C41EB2" w:rsidRDefault="00221CE8" w:rsidP="00221CE8">
      <w:pPr>
        <w:rPr>
          <w:rFonts w:ascii="Times New Roman" w:eastAsia="Times New Roman" w:hAnsi="Times New Roman" w:cs="Times New Roman"/>
          <w:sz w:val="28"/>
          <w:szCs w:val="28"/>
          <w:lang w:val="en-US" w:eastAsia="ru-RU"/>
        </w:rPr>
      </w:pPr>
    </w:p>
    <w:p w:rsidR="00221CE8" w:rsidRPr="00C41EB2" w:rsidRDefault="00221CE8" w:rsidP="00221CE8">
      <w:pPr>
        <w:rPr>
          <w:rFonts w:ascii="Times New Roman" w:eastAsia="Times New Roman" w:hAnsi="Times New Roman" w:cs="Times New Roman"/>
          <w:sz w:val="28"/>
          <w:szCs w:val="28"/>
          <w:lang w:val="en-US" w:eastAsia="ru-RU"/>
        </w:rPr>
      </w:pPr>
    </w:p>
    <w:p w:rsidR="00221CE8" w:rsidRPr="00C41EB2" w:rsidRDefault="00221CE8" w:rsidP="00221CE8">
      <w:pPr>
        <w:rPr>
          <w:rFonts w:ascii="Times New Roman" w:eastAsia="Times New Roman" w:hAnsi="Times New Roman" w:cs="Times New Roman"/>
          <w:sz w:val="28"/>
          <w:szCs w:val="28"/>
          <w:lang w:val="en-US" w:eastAsia="ru-RU"/>
        </w:rPr>
      </w:pPr>
    </w:p>
    <w:p w:rsidR="00221CE8" w:rsidRPr="00C41EB2" w:rsidRDefault="00221CE8" w:rsidP="00221CE8">
      <w:pPr>
        <w:rPr>
          <w:rFonts w:ascii="Times New Roman" w:eastAsia="Times New Roman" w:hAnsi="Times New Roman" w:cs="Times New Roman"/>
          <w:sz w:val="28"/>
          <w:szCs w:val="28"/>
          <w:lang w:val="en-US" w:eastAsia="ru-RU"/>
        </w:rPr>
      </w:pPr>
    </w:p>
    <w:p w:rsidR="00221CE8" w:rsidRPr="00C41EB2" w:rsidRDefault="00221CE8" w:rsidP="00221CE8">
      <w:pPr>
        <w:jc w:val="center"/>
        <w:rPr>
          <w:rFonts w:ascii="Times New Roman" w:eastAsia="Times New Roman" w:hAnsi="Times New Roman" w:cs="Times New Roman"/>
          <w:sz w:val="36"/>
          <w:szCs w:val="36"/>
          <w:lang w:val="en-US" w:eastAsia="ru-RU"/>
        </w:rPr>
      </w:pPr>
      <w:r w:rsidRPr="00C41EB2">
        <w:rPr>
          <w:rFonts w:ascii="Times New Roman" w:eastAsia="Times New Roman" w:hAnsi="Times New Roman" w:cs="Times New Roman"/>
          <w:sz w:val="36"/>
          <w:szCs w:val="36"/>
          <w:lang w:val="en-US" w:eastAsia="ru-RU"/>
        </w:rPr>
        <w:t>R E P O R T</w:t>
      </w:r>
    </w:p>
    <w:p w:rsidR="00221CE8" w:rsidRPr="00B9730D" w:rsidRDefault="00221CE8" w:rsidP="00221CE8">
      <w:pPr>
        <w:jc w:val="center"/>
        <w:rPr>
          <w:rFonts w:ascii="Times New Roman" w:hAnsi="Times New Roman" w:cs="Times New Roman"/>
          <w:b/>
          <w:sz w:val="28"/>
          <w:szCs w:val="28"/>
          <w:lang w:val="en-US"/>
        </w:rPr>
      </w:pPr>
      <w:r w:rsidRPr="00C41EB2">
        <w:rPr>
          <w:rFonts w:ascii="Times New Roman" w:eastAsia="Calibri" w:hAnsi="Times New Roman" w:cs="Times New Roman"/>
          <w:b/>
          <w:sz w:val="28"/>
          <w:szCs w:val="28"/>
          <w:lang w:val="en-US"/>
        </w:rPr>
        <w:t xml:space="preserve">On the </w:t>
      </w:r>
      <w:r>
        <w:rPr>
          <w:rFonts w:ascii="Times New Roman" w:eastAsia="Calibri" w:hAnsi="Times New Roman" w:cs="Times New Roman"/>
          <w:b/>
          <w:sz w:val="28"/>
          <w:szCs w:val="28"/>
          <w:lang w:val="en-US"/>
        </w:rPr>
        <w:t>2</w:t>
      </w:r>
      <w:r w:rsidRPr="00221CE8">
        <w:rPr>
          <w:rFonts w:ascii="Times New Roman" w:eastAsia="Calibri" w:hAnsi="Times New Roman" w:cs="Times New Roman"/>
          <w:b/>
          <w:sz w:val="28"/>
          <w:szCs w:val="28"/>
          <w:vertAlign w:val="superscript"/>
          <w:lang w:val="en-US"/>
        </w:rPr>
        <w:t>nd</w:t>
      </w:r>
      <w:r w:rsidRPr="00C41EB2">
        <w:rPr>
          <w:rFonts w:ascii="Times New Roman" w:eastAsia="Calibri" w:hAnsi="Times New Roman" w:cs="Times New Roman"/>
          <w:b/>
          <w:sz w:val="28"/>
          <w:szCs w:val="28"/>
          <w:lang w:val="en-US"/>
        </w:rPr>
        <w:t xml:space="preserve"> stage of </w:t>
      </w:r>
      <w:r>
        <w:rPr>
          <w:rFonts w:ascii="Times New Roman" w:hAnsi="Times New Roman" w:cs="Times New Roman"/>
          <w:b/>
          <w:sz w:val="28"/>
          <w:szCs w:val="28"/>
          <w:lang w:val="en-US"/>
        </w:rPr>
        <w:t xml:space="preserve">the </w:t>
      </w:r>
      <w:r w:rsidRPr="0008626B">
        <w:rPr>
          <w:rFonts w:ascii="Times New Roman" w:hAnsi="Times New Roman" w:cs="Times New Roman"/>
          <w:b/>
          <w:sz w:val="28"/>
          <w:szCs w:val="28"/>
          <w:lang w:val="en-US"/>
        </w:rPr>
        <w:t>scientific research work “</w:t>
      </w:r>
      <w:r>
        <w:rPr>
          <w:rFonts w:ascii="Times New Roman" w:hAnsi="Times New Roman" w:cs="Times New Roman"/>
          <w:b/>
          <w:sz w:val="28"/>
          <w:szCs w:val="28"/>
          <w:lang w:val="en-US"/>
        </w:rPr>
        <w:t>Specifics</w:t>
      </w:r>
      <w:r w:rsidRPr="0008626B">
        <w:rPr>
          <w:rFonts w:ascii="Times New Roman" w:hAnsi="Times New Roman" w:cs="Times New Roman"/>
          <w:b/>
          <w:sz w:val="28"/>
          <w:szCs w:val="28"/>
          <w:lang w:val="en-US"/>
        </w:rPr>
        <w:t xml:space="preserve"> of the elec</w:t>
      </w:r>
      <w:r>
        <w:rPr>
          <w:rFonts w:ascii="Times New Roman" w:hAnsi="Times New Roman" w:cs="Times New Roman"/>
          <w:b/>
          <w:sz w:val="28"/>
          <w:szCs w:val="28"/>
          <w:lang w:val="en-US"/>
        </w:rPr>
        <w:t>troneuromyographic parameters in</w:t>
      </w:r>
      <w:r w:rsidRPr="0008626B">
        <w:rPr>
          <w:rFonts w:ascii="Times New Roman" w:hAnsi="Times New Roman" w:cs="Times New Roman"/>
          <w:b/>
          <w:sz w:val="28"/>
          <w:szCs w:val="28"/>
          <w:lang w:val="en-US"/>
        </w:rPr>
        <w:t xml:space="preserve"> patients with musculoskeletal pain syndromes before and after treatment </w:t>
      </w:r>
      <w:r>
        <w:rPr>
          <w:rFonts w:ascii="Times New Roman" w:hAnsi="Times New Roman" w:cs="Times New Roman"/>
          <w:b/>
          <w:sz w:val="28"/>
          <w:szCs w:val="28"/>
          <w:lang w:val="en-US"/>
        </w:rPr>
        <w:t>by</w:t>
      </w:r>
      <w:r w:rsidRPr="0008626B">
        <w:rPr>
          <w:rFonts w:ascii="Times New Roman" w:hAnsi="Times New Roman" w:cs="Times New Roman"/>
          <w:b/>
          <w:sz w:val="28"/>
          <w:szCs w:val="28"/>
          <w:lang w:val="en-US"/>
        </w:rPr>
        <w:t xml:space="preserve"> the Proprioceptive-Deep Tendon Reflex</w:t>
      </w:r>
      <w:r>
        <w:rPr>
          <w:rFonts w:ascii="Times New Roman" w:hAnsi="Times New Roman" w:cs="Times New Roman"/>
          <w:b/>
          <w:sz w:val="28"/>
          <w:szCs w:val="28"/>
          <w:lang w:val="en-US"/>
        </w:rPr>
        <w:t xml:space="preserve"> method</w:t>
      </w:r>
      <w:r w:rsidRPr="0008626B">
        <w:rPr>
          <w:rFonts w:ascii="Times New Roman" w:hAnsi="Times New Roman" w:cs="Times New Roman"/>
          <w:b/>
          <w:sz w:val="28"/>
          <w:szCs w:val="28"/>
          <w:lang w:val="en-US"/>
        </w:rPr>
        <w:t xml:space="preserve"> (P-DTR)”</w:t>
      </w:r>
    </w:p>
    <w:p w:rsidR="00221CE8" w:rsidRPr="00C41EB2" w:rsidRDefault="00221CE8" w:rsidP="00221CE8">
      <w:pPr>
        <w:rPr>
          <w:rFonts w:ascii="Times New Roman" w:eastAsia="Times New Roman" w:hAnsi="Times New Roman" w:cs="Times New Roman"/>
          <w:lang w:val="en-US" w:eastAsia="ru-RU"/>
        </w:rPr>
      </w:pPr>
    </w:p>
    <w:p w:rsidR="00221CE8" w:rsidRPr="00C41EB2" w:rsidRDefault="00221CE8" w:rsidP="00221CE8">
      <w:pPr>
        <w:rPr>
          <w:rFonts w:ascii="Times New Roman" w:eastAsia="Times New Roman" w:hAnsi="Times New Roman" w:cs="Times New Roman"/>
          <w:lang w:val="en-US" w:eastAsia="ru-RU"/>
        </w:rPr>
      </w:pPr>
    </w:p>
    <w:p w:rsidR="00221CE8" w:rsidRPr="00C41EB2" w:rsidRDefault="00221CE8" w:rsidP="00221CE8">
      <w:pPr>
        <w:rPr>
          <w:rFonts w:ascii="Times New Roman" w:eastAsia="Times New Roman" w:hAnsi="Times New Roman" w:cs="Times New Roman"/>
          <w:lang w:val="en-US" w:eastAsia="ru-RU"/>
        </w:rPr>
      </w:pPr>
    </w:p>
    <w:p w:rsidR="00221CE8" w:rsidRPr="00C41EB2" w:rsidRDefault="00221CE8" w:rsidP="00221CE8">
      <w:pPr>
        <w:rPr>
          <w:rFonts w:ascii="Times New Roman" w:eastAsia="Times New Roman" w:hAnsi="Times New Roman" w:cs="Times New Roman"/>
          <w:lang w:val="en-US" w:eastAsia="ru-RU"/>
        </w:rPr>
      </w:pPr>
    </w:p>
    <w:p w:rsidR="00221CE8" w:rsidRPr="00C41EB2" w:rsidRDefault="00221CE8" w:rsidP="00221CE8">
      <w:pPr>
        <w:rPr>
          <w:rFonts w:ascii="Times New Roman" w:eastAsia="Times New Roman" w:hAnsi="Times New Roman" w:cs="Times New Roman"/>
          <w:lang w:val="en-US" w:eastAsia="ru-RU"/>
        </w:rPr>
      </w:pPr>
    </w:p>
    <w:p w:rsidR="00221CE8" w:rsidRPr="00C41EB2" w:rsidRDefault="00221CE8" w:rsidP="00221CE8">
      <w:pPr>
        <w:rPr>
          <w:rFonts w:ascii="Times New Roman" w:eastAsia="Times New Roman" w:hAnsi="Times New Roman" w:cs="Times New Roman"/>
          <w:b/>
          <w:lang w:val="en-US" w:eastAsia="ru-RU"/>
        </w:rPr>
      </w:pPr>
    </w:p>
    <w:p w:rsidR="00221CE8" w:rsidRPr="00C41EB2" w:rsidRDefault="00221CE8" w:rsidP="00221CE8">
      <w:pPr>
        <w:rPr>
          <w:rFonts w:ascii="Times New Roman" w:eastAsia="Times New Roman" w:hAnsi="Times New Roman" w:cs="Times New Roman"/>
          <w:b/>
          <w:lang w:val="en-US" w:eastAsia="ru-RU"/>
        </w:rPr>
      </w:pPr>
      <w:r w:rsidRPr="00C41EB2">
        <w:rPr>
          <w:rFonts w:ascii="Times New Roman" w:eastAsia="Times New Roman" w:hAnsi="Times New Roman" w:cs="Times New Roman"/>
          <w:b/>
          <w:lang w:val="en-US" w:eastAsia="ru-RU"/>
        </w:rPr>
        <w:t xml:space="preserve">                                                                                                                        </w:t>
      </w:r>
      <w:r w:rsidRPr="00C41EB2">
        <w:rPr>
          <w:rFonts w:ascii="Times New Roman" w:eastAsia="Times New Roman" w:hAnsi="Times New Roman" w:cs="Times New Roman"/>
          <w:b/>
          <w:lang w:val="en-US" w:eastAsia="ru-RU"/>
        </w:rPr>
        <w:tab/>
      </w:r>
      <w:r w:rsidRPr="00C41EB2">
        <w:rPr>
          <w:rFonts w:ascii="Times New Roman" w:eastAsia="Times New Roman" w:hAnsi="Times New Roman" w:cs="Times New Roman"/>
          <w:b/>
          <w:lang w:val="en-US" w:eastAsia="ru-RU"/>
        </w:rPr>
        <w:tab/>
        <w:t>Performers:</w:t>
      </w:r>
    </w:p>
    <w:p w:rsidR="00221CE8" w:rsidRDefault="00221CE8" w:rsidP="00221CE8">
      <w:pPr>
        <w:widowControl w:val="0"/>
        <w:autoSpaceDE w:val="0"/>
        <w:autoSpaceDN w:val="0"/>
        <w:spacing w:after="0" w:line="240" w:lineRule="auto"/>
        <w:jc w:val="right"/>
        <w:rPr>
          <w:rFonts w:ascii="Times New Roman" w:hAnsi="Times New Roman"/>
          <w:lang w:val="en-US" w:eastAsia="ru-RU"/>
        </w:rPr>
      </w:pPr>
      <w:r>
        <w:rPr>
          <w:rFonts w:ascii="Times New Roman" w:hAnsi="Times New Roman"/>
          <w:lang w:val="en-US" w:eastAsia="ru-RU"/>
        </w:rPr>
        <w:t xml:space="preserve">M.D., </w:t>
      </w:r>
      <w:r w:rsidRPr="00C944F5">
        <w:rPr>
          <w:rFonts w:ascii="Times New Roman" w:hAnsi="Times New Roman"/>
          <w:lang w:val="en-US" w:eastAsia="ru-RU"/>
        </w:rPr>
        <w:t>Head of department</w:t>
      </w:r>
      <w:r>
        <w:rPr>
          <w:rFonts w:ascii="Times New Roman" w:hAnsi="Times New Roman"/>
          <w:lang w:val="en-US" w:eastAsia="ru-RU"/>
        </w:rPr>
        <w:t xml:space="preserve"> of </w:t>
      </w:r>
      <w:r w:rsidRPr="007167C7">
        <w:rPr>
          <w:rFonts w:ascii="Times New Roman" w:hAnsi="Times New Roman"/>
          <w:lang w:val="en-US" w:eastAsia="ru-RU"/>
        </w:rPr>
        <w:t>neuroscience</w:t>
      </w:r>
      <w:r w:rsidRPr="0092043C">
        <w:rPr>
          <w:rFonts w:ascii="Times New Roman" w:hAnsi="Times New Roman"/>
          <w:lang w:val="en-US" w:eastAsia="ru-RU"/>
        </w:rPr>
        <w:t xml:space="preserve">, </w:t>
      </w:r>
      <w:r w:rsidRPr="007167C7">
        <w:rPr>
          <w:rFonts w:ascii="Times New Roman" w:hAnsi="Times New Roman"/>
          <w:lang w:val="en-US" w:eastAsia="ru-RU"/>
        </w:rPr>
        <w:t>physiotherapy</w:t>
      </w:r>
      <w:r>
        <w:rPr>
          <w:rFonts w:ascii="Times New Roman" w:hAnsi="Times New Roman"/>
          <w:lang w:val="en-US" w:eastAsia="ru-RU"/>
        </w:rPr>
        <w:t xml:space="preserve"> and </w:t>
      </w:r>
      <w:r w:rsidRPr="007167C7">
        <w:rPr>
          <w:rFonts w:ascii="Times New Roman" w:hAnsi="Times New Roman"/>
          <w:lang w:val="en-US" w:eastAsia="ru-RU"/>
        </w:rPr>
        <w:t>reflexotherapy</w:t>
      </w:r>
      <w:r>
        <w:rPr>
          <w:rFonts w:ascii="Times New Roman" w:hAnsi="Times New Roman"/>
          <w:lang w:val="en-US" w:eastAsia="ru-RU"/>
        </w:rPr>
        <w:t xml:space="preserve"> of the F</w:t>
      </w:r>
      <w:r w:rsidRPr="007167C7">
        <w:rPr>
          <w:rFonts w:ascii="Times New Roman" w:hAnsi="Times New Roman"/>
          <w:lang w:val="en-US" w:eastAsia="ru-RU"/>
        </w:rPr>
        <w:t xml:space="preserve">aculty of additional professional education </w:t>
      </w:r>
      <w:r>
        <w:rPr>
          <w:rFonts w:ascii="Times New Roman" w:hAnsi="Times New Roman"/>
          <w:lang w:val="en-US" w:eastAsia="ru-RU"/>
        </w:rPr>
        <w:t xml:space="preserve">of </w:t>
      </w:r>
      <w:r w:rsidRPr="007167C7">
        <w:rPr>
          <w:rFonts w:ascii="Times New Roman" w:hAnsi="Times New Roman"/>
          <w:lang w:val="en-US" w:eastAsia="ru-RU"/>
        </w:rPr>
        <w:t>S</w:t>
      </w:r>
      <w:r>
        <w:rPr>
          <w:rFonts w:ascii="Times New Roman" w:hAnsi="Times New Roman"/>
          <w:lang w:val="en-US" w:eastAsia="ru-RU"/>
        </w:rPr>
        <w:t>molensk</w:t>
      </w:r>
      <w:r w:rsidRPr="007167C7">
        <w:rPr>
          <w:rFonts w:ascii="Times New Roman" w:hAnsi="Times New Roman"/>
          <w:lang w:val="en-US" w:eastAsia="ru-RU"/>
        </w:rPr>
        <w:t xml:space="preserve"> State Medical University</w:t>
      </w:r>
      <w:r w:rsidRPr="00E62614">
        <w:rPr>
          <w:rFonts w:ascii="Times New Roman" w:hAnsi="Times New Roman"/>
          <w:lang w:val="en-US" w:eastAsia="ru-RU"/>
        </w:rPr>
        <w:t xml:space="preserve"> </w:t>
      </w:r>
      <w:r>
        <w:rPr>
          <w:rFonts w:ascii="Times New Roman" w:hAnsi="Times New Roman"/>
          <w:lang w:val="en-US" w:eastAsia="ru-RU"/>
        </w:rPr>
        <w:t xml:space="preserve">– </w:t>
      </w:r>
    </w:p>
    <w:p w:rsidR="00221CE8" w:rsidRPr="000101DE" w:rsidRDefault="00221CE8" w:rsidP="00221CE8">
      <w:pPr>
        <w:widowControl w:val="0"/>
        <w:autoSpaceDE w:val="0"/>
        <w:autoSpaceDN w:val="0"/>
        <w:spacing w:after="0" w:line="240" w:lineRule="auto"/>
        <w:jc w:val="right"/>
        <w:rPr>
          <w:rFonts w:ascii="Times New Roman" w:hAnsi="Times New Roman"/>
          <w:lang w:val="en-US" w:eastAsia="ru-RU"/>
        </w:rPr>
      </w:pPr>
      <w:r>
        <w:rPr>
          <w:rFonts w:ascii="Times New Roman" w:hAnsi="Times New Roman"/>
          <w:lang w:val="en-US" w:eastAsia="ru-RU"/>
        </w:rPr>
        <w:t>Gribova</w:t>
      </w:r>
      <w:r w:rsidRPr="00E62614">
        <w:rPr>
          <w:rFonts w:ascii="Times New Roman" w:hAnsi="Times New Roman"/>
          <w:lang w:val="en-US" w:eastAsia="ru-RU"/>
        </w:rPr>
        <w:t xml:space="preserve"> </w:t>
      </w:r>
      <w:r>
        <w:rPr>
          <w:rFonts w:ascii="Times New Roman" w:hAnsi="Times New Roman"/>
          <w:lang w:val="en-US" w:eastAsia="ru-RU"/>
        </w:rPr>
        <w:t>N</w:t>
      </w:r>
      <w:r w:rsidRPr="000101DE">
        <w:rPr>
          <w:rFonts w:ascii="Times New Roman" w:hAnsi="Times New Roman"/>
          <w:lang w:val="en-US" w:eastAsia="ru-RU"/>
        </w:rPr>
        <w:t>.</w:t>
      </w:r>
      <w:r>
        <w:rPr>
          <w:rFonts w:ascii="Times New Roman" w:hAnsi="Times New Roman"/>
          <w:lang w:val="en-US" w:eastAsia="ru-RU"/>
        </w:rPr>
        <w:t>P.</w:t>
      </w:r>
    </w:p>
    <w:p w:rsidR="00221CE8" w:rsidRPr="000101DE" w:rsidRDefault="00221CE8" w:rsidP="00221CE8">
      <w:pPr>
        <w:widowControl w:val="0"/>
        <w:autoSpaceDE w:val="0"/>
        <w:autoSpaceDN w:val="0"/>
        <w:spacing w:after="0" w:line="240" w:lineRule="auto"/>
        <w:jc w:val="right"/>
        <w:rPr>
          <w:rFonts w:ascii="Times New Roman" w:hAnsi="Times New Roman"/>
          <w:b/>
          <w:lang w:val="en-US" w:eastAsia="ru-RU"/>
        </w:rPr>
      </w:pPr>
    </w:p>
    <w:p w:rsidR="00221CE8" w:rsidRDefault="00221CE8" w:rsidP="00221CE8">
      <w:pPr>
        <w:widowControl w:val="0"/>
        <w:autoSpaceDE w:val="0"/>
        <w:autoSpaceDN w:val="0"/>
        <w:spacing w:after="0" w:line="240" w:lineRule="auto"/>
        <w:jc w:val="right"/>
        <w:rPr>
          <w:rFonts w:ascii="Times New Roman" w:hAnsi="Times New Roman"/>
          <w:lang w:val="en-US" w:eastAsia="ru-RU"/>
        </w:rPr>
      </w:pPr>
      <w:r>
        <w:rPr>
          <w:rFonts w:ascii="Times New Roman" w:hAnsi="Times New Roman"/>
          <w:lang w:val="en-US" w:eastAsia="ru-RU"/>
        </w:rPr>
        <w:t xml:space="preserve">M.D., </w:t>
      </w:r>
      <w:r w:rsidRPr="0092043C">
        <w:rPr>
          <w:rFonts w:ascii="Times New Roman" w:hAnsi="Times New Roman"/>
          <w:lang w:val="en-US" w:eastAsia="ru-RU"/>
        </w:rPr>
        <w:t>Board cert</w:t>
      </w:r>
      <w:r>
        <w:rPr>
          <w:rFonts w:ascii="Times New Roman" w:hAnsi="Times New Roman"/>
          <w:lang w:val="en-US" w:eastAsia="ru-RU"/>
        </w:rPr>
        <w:t>ified chiropractor of higher category of Smolensk Sports C</w:t>
      </w:r>
      <w:r w:rsidRPr="0092043C">
        <w:rPr>
          <w:rFonts w:ascii="Times New Roman" w:hAnsi="Times New Roman"/>
          <w:lang w:val="en-US" w:eastAsia="ru-RU"/>
        </w:rPr>
        <w:t xml:space="preserve">linic </w:t>
      </w:r>
      <w:r>
        <w:rPr>
          <w:rFonts w:ascii="Times New Roman" w:hAnsi="Times New Roman"/>
          <w:lang w:val="en-US" w:eastAsia="ru-RU"/>
        </w:rPr>
        <w:t>–</w:t>
      </w:r>
      <w:r w:rsidRPr="0092043C">
        <w:rPr>
          <w:rFonts w:ascii="Times New Roman" w:hAnsi="Times New Roman"/>
          <w:lang w:val="en-US" w:eastAsia="ru-RU"/>
        </w:rPr>
        <w:t xml:space="preserve"> </w:t>
      </w:r>
    </w:p>
    <w:p w:rsidR="00221CE8" w:rsidRPr="000101DE" w:rsidRDefault="00221CE8" w:rsidP="00221CE8">
      <w:pPr>
        <w:widowControl w:val="0"/>
        <w:autoSpaceDE w:val="0"/>
        <w:autoSpaceDN w:val="0"/>
        <w:spacing w:after="0" w:line="240" w:lineRule="auto"/>
        <w:jc w:val="right"/>
        <w:rPr>
          <w:rFonts w:ascii="Times New Roman" w:hAnsi="Times New Roman"/>
          <w:lang w:val="en-US" w:eastAsia="ru-RU"/>
        </w:rPr>
      </w:pPr>
      <w:r w:rsidRPr="0092043C">
        <w:rPr>
          <w:rFonts w:ascii="Times New Roman" w:hAnsi="Times New Roman"/>
          <w:lang w:val="en-US" w:eastAsia="ru-RU"/>
        </w:rPr>
        <w:t>Volkov A.A.</w:t>
      </w:r>
    </w:p>
    <w:p w:rsidR="00221CE8" w:rsidRPr="00DF1C33" w:rsidRDefault="00221CE8" w:rsidP="00221CE8">
      <w:pPr>
        <w:widowControl w:val="0"/>
        <w:autoSpaceDE w:val="0"/>
        <w:autoSpaceDN w:val="0"/>
        <w:spacing w:after="0" w:line="240" w:lineRule="auto"/>
        <w:jc w:val="right"/>
        <w:rPr>
          <w:rFonts w:ascii="Times New Roman" w:eastAsia="Times New Roman" w:hAnsi="Times New Roman" w:cs="Times New Roman"/>
          <w:lang w:val="en-US" w:eastAsia="ru-RU"/>
        </w:rPr>
      </w:pPr>
    </w:p>
    <w:p w:rsidR="00221CE8" w:rsidRPr="000101DE" w:rsidRDefault="00221CE8" w:rsidP="00221CE8">
      <w:pPr>
        <w:widowControl w:val="0"/>
        <w:autoSpaceDE w:val="0"/>
        <w:autoSpaceDN w:val="0"/>
        <w:spacing w:after="0" w:line="240" w:lineRule="auto"/>
        <w:jc w:val="right"/>
        <w:rPr>
          <w:rFonts w:ascii="Times New Roman" w:hAnsi="Times New Roman"/>
          <w:lang w:val="en-US" w:eastAsia="ru-RU"/>
        </w:rPr>
      </w:pPr>
      <w:r>
        <w:rPr>
          <w:rFonts w:ascii="Times New Roman" w:hAnsi="Times New Roman"/>
          <w:lang w:val="en-US" w:eastAsia="ru-RU"/>
        </w:rPr>
        <w:t>E</w:t>
      </w:r>
      <w:r w:rsidRPr="0092043C">
        <w:rPr>
          <w:rFonts w:ascii="Times New Roman" w:hAnsi="Times New Roman"/>
          <w:lang w:val="en-US" w:eastAsia="ru-RU"/>
        </w:rPr>
        <w:t>xtra-mural</w:t>
      </w:r>
      <w:r w:rsidRPr="00E62614">
        <w:rPr>
          <w:rFonts w:ascii="Times New Roman" w:hAnsi="Times New Roman"/>
          <w:lang w:val="en-US" w:eastAsia="ru-RU"/>
        </w:rPr>
        <w:t xml:space="preserve"> </w:t>
      </w:r>
      <w:r w:rsidRPr="0092043C">
        <w:rPr>
          <w:rFonts w:ascii="Times New Roman" w:hAnsi="Times New Roman"/>
          <w:lang w:val="en-US" w:eastAsia="ru-RU"/>
        </w:rPr>
        <w:t xml:space="preserve">Ph.D. candidate </w:t>
      </w:r>
      <w:r>
        <w:rPr>
          <w:rFonts w:ascii="Times New Roman" w:hAnsi="Times New Roman"/>
          <w:lang w:val="en-US" w:eastAsia="ru-RU"/>
        </w:rPr>
        <w:t xml:space="preserve">of the department of </w:t>
      </w:r>
      <w:r w:rsidRPr="007167C7">
        <w:rPr>
          <w:rFonts w:ascii="Times New Roman" w:hAnsi="Times New Roman"/>
          <w:lang w:val="en-US" w:eastAsia="ru-RU"/>
        </w:rPr>
        <w:t>neuroscience</w:t>
      </w:r>
      <w:r w:rsidRPr="0092043C">
        <w:rPr>
          <w:rFonts w:ascii="Times New Roman" w:hAnsi="Times New Roman"/>
          <w:lang w:val="en-US" w:eastAsia="ru-RU"/>
        </w:rPr>
        <w:t xml:space="preserve">, </w:t>
      </w:r>
      <w:r w:rsidRPr="007167C7">
        <w:rPr>
          <w:rFonts w:ascii="Times New Roman" w:hAnsi="Times New Roman"/>
          <w:lang w:val="en-US" w:eastAsia="ru-RU"/>
        </w:rPr>
        <w:t>physiotherapy</w:t>
      </w:r>
      <w:r>
        <w:rPr>
          <w:rFonts w:ascii="Times New Roman" w:hAnsi="Times New Roman"/>
          <w:lang w:val="en-US" w:eastAsia="ru-RU"/>
        </w:rPr>
        <w:t xml:space="preserve"> and </w:t>
      </w:r>
      <w:r w:rsidRPr="007167C7">
        <w:rPr>
          <w:rFonts w:ascii="Times New Roman" w:hAnsi="Times New Roman"/>
          <w:lang w:val="en-US" w:eastAsia="ru-RU"/>
        </w:rPr>
        <w:t>reflexotherapy</w:t>
      </w:r>
      <w:r>
        <w:rPr>
          <w:rFonts w:ascii="Times New Roman" w:hAnsi="Times New Roman"/>
          <w:lang w:val="en-US" w:eastAsia="ru-RU"/>
        </w:rPr>
        <w:t xml:space="preserve"> of the F</w:t>
      </w:r>
      <w:r w:rsidRPr="007167C7">
        <w:rPr>
          <w:rFonts w:ascii="Times New Roman" w:hAnsi="Times New Roman"/>
          <w:lang w:val="en-US" w:eastAsia="ru-RU"/>
        </w:rPr>
        <w:t xml:space="preserve">aculty of additional professional education </w:t>
      </w:r>
      <w:r>
        <w:rPr>
          <w:rFonts w:ascii="Times New Roman" w:hAnsi="Times New Roman"/>
          <w:lang w:val="en-US" w:eastAsia="ru-RU"/>
        </w:rPr>
        <w:t xml:space="preserve">of </w:t>
      </w:r>
      <w:r w:rsidRPr="007167C7">
        <w:rPr>
          <w:rFonts w:ascii="Times New Roman" w:hAnsi="Times New Roman"/>
          <w:lang w:val="en-US" w:eastAsia="ru-RU"/>
        </w:rPr>
        <w:t>S</w:t>
      </w:r>
      <w:r>
        <w:rPr>
          <w:rFonts w:ascii="Times New Roman" w:hAnsi="Times New Roman"/>
          <w:lang w:val="en-US" w:eastAsia="ru-RU"/>
        </w:rPr>
        <w:t>molensk</w:t>
      </w:r>
      <w:r w:rsidRPr="007167C7">
        <w:rPr>
          <w:rFonts w:ascii="Times New Roman" w:hAnsi="Times New Roman"/>
          <w:lang w:val="en-US" w:eastAsia="ru-RU"/>
        </w:rPr>
        <w:t xml:space="preserve"> State Medical University</w:t>
      </w:r>
      <w:r>
        <w:rPr>
          <w:rFonts w:ascii="Times New Roman" w:hAnsi="Times New Roman"/>
          <w:lang w:val="en-US" w:eastAsia="ru-RU"/>
        </w:rPr>
        <w:t xml:space="preserve"> doctor-</w:t>
      </w:r>
      <w:r w:rsidRPr="007167C7">
        <w:rPr>
          <w:rFonts w:ascii="Times New Roman" w:hAnsi="Times New Roman"/>
          <w:lang w:val="en-US" w:eastAsia="ru-RU"/>
        </w:rPr>
        <w:t xml:space="preserve">neurologist </w:t>
      </w:r>
      <w:r w:rsidRPr="0092043C">
        <w:rPr>
          <w:rFonts w:ascii="Times New Roman" w:hAnsi="Times New Roman"/>
          <w:lang w:val="en-US" w:eastAsia="ru-RU"/>
        </w:rPr>
        <w:t xml:space="preserve">– </w:t>
      </w:r>
      <w:r>
        <w:rPr>
          <w:rFonts w:ascii="Times New Roman" w:hAnsi="Times New Roman"/>
          <w:lang w:val="en-US" w:eastAsia="ru-RU"/>
        </w:rPr>
        <w:t>Korenevskaya</w:t>
      </w:r>
      <w:r w:rsidRPr="00E62614">
        <w:rPr>
          <w:rFonts w:ascii="Times New Roman" w:hAnsi="Times New Roman"/>
          <w:lang w:val="en-US" w:eastAsia="ru-RU"/>
        </w:rPr>
        <w:t xml:space="preserve"> </w:t>
      </w:r>
      <w:r>
        <w:rPr>
          <w:rFonts w:ascii="Times New Roman" w:hAnsi="Times New Roman"/>
          <w:lang w:val="en-US" w:eastAsia="ru-RU"/>
        </w:rPr>
        <w:t>I</w:t>
      </w:r>
      <w:r w:rsidRPr="0092043C">
        <w:rPr>
          <w:rFonts w:ascii="Times New Roman" w:hAnsi="Times New Roman"/>
          <w:lang w:val="en-US" w:eastAsia="ru-RU"/>
        </w:rPr>
        <w:t>.</w:t>
      </w:r>
      <w:r w:rsidRPr="0092043C">
        <w:rPr>
          <w:rFonts w:ascii="Times New Roman" w:hAnsi="Times New Roman"/>
          <w:lang w:eastAsia="ru-RU"/>
        </w:rPr>
        <w:t>А</w:t>
      </w:r>
      <w:r w:rsidRPr="0092043C">
        <w:rPr>
          <w:rFonts w:ascii="Times New Roman" w:hAnsi="Times New Roman"/>
          <w:lang w:val="en-US" w:eastAsia="ru-RU"/>
        </w:rPr>
        <w:t>.</w:t>
      </w:r>
    </w:p>
    <w:p w:rsidR="00221CE8" w:rsidRPr="00C41EB2" w:rsidRDefault="00221CE8" w:rsidP="00221CE8">
      <w:pPr>
        <w:rPr>
          <w:rFonts w:ascii="Times New Roman" w:eastAsia="Times New Roman" w:hAnsi="Times New Roman" w:cs="Times New Roman"/>
          <w:lang w:val="en-US" w:eastAsia="ru-RU"/>
        </w:rPr>
      </w:pPr>
    </w:p>
    <w:p w:rsidR="00221CE8" w:rsidRDefault="00221CE8" w:rsidP="00221CE8">
      <w:pPr>
        <w:jc w:val="center"/>
        <w:rPr>
          <w:rFonts w:ascii="Times New Roman" w:hAnsi="Times New Roman" w:cs="Times New Roman"/>
          <w:b/>
          <w:sz w:val="28"/>
          <w:szCs w:val="28"/>
          <w:lang w:val="en-US"/>
        </w:rPr>
      </w:pPr>
    </w:p>
    <w:p w:rsidR="00221CE8" w:rsidRPr="00221CE8" w:rsidRDefault="00221CE8" w:rsidP="00221CE8">
      <w:pPr>
        <w:jc w:val="center"/>
        <w:rPr>
          <w:rFonts w:ascii="Times New Roman" w:hAnsi="Times New Roman" w:cs="Times New Roman"/>
          <w:i/>
          <w:lang w:val="en-US"/>
        </w:rPr>
      </w:pPr>
      <w:r w:rsidRPr="00310BDB">
        <w:rPr>
          <w:rFonts w:ascii="Times New Roman" w:hAnsi="Times New Roman" w:cs="Times New Roman"/>
          <w:i/>
          <w:lang w:val="en-US"/>
        </w:rPr>
        <w:t>Smolensk</w:t>
      </w:r>
      <w:r w:rsidRPr="00221CE8">
        <w:rPr>
          <w:rFonts w:ascii="Times New Roman" w:hAnsi="Times New Roman" w:cs="Times New Roman"/>
          <w:i/>
          <w:lang w:val="en-US"/>
        </w:rPr>
        <w:t>, 2018</w:t>
      </w:r>
    </w:p>
    <w:p w:rsidR="003C0F9E" w:rsidRPr="00221CE8" w:rsidRDefault="003C0F9E" w:rsidP="003C0F9E">
      <w:pPr>
        <w:spacing w:after="200" w:line="276" w:lineRule="auto"/>
        <w:rPr>
          <w:rFonts w:ascii="Times New Roman" w:eastAsia="Times New Roman" w:hAnsi="Times New Roman" w:cs="Times New Roman"/>
          <w:lang w:val="en-US" w:eastAsia="ru-RU"/>
        </w:rPr>
      </w:pPr>
    </w:p>
    <w:p w:rsidR="003C0F9E" w:rsidRPr="00221CE8" w:rsidRDefault="003C0F9E" w:rsidP="003C0F9E">
      <w:pPr>
        <w:spacing w:after="200" w:line="276" w:lineRule="auto"/>
        <w:rPr>
          <w:rFonts w:ascii="Calibri" w:eastAsia="Calibri" w:hAnsi="Calibri" w:cs="Times New Roman"/>
          <w:lang w:val="en-US"/>
        </w:rPr>
      </w:pPr>
    </w:p>
    <w:p w:rsidR="003C0F9E" w:rsidRPr="00221CE8" w:rsidRDefault="003C0F9E" w:rsidP="0022532B">
      <w:pPr>
        <w:jc w:val="center"/>
        <w:rPr>
          <w:rFonts w:ascii="Times New Roman" w:hAnsi="Times New Roman" w:cs="Times New Roman"/>
          <w:b/>
          <w:sz w:val="28"/>
          <w:szCs w:val="28"/>
          <w:lang w:val="en-US"/>
        </w:rPr>
      </w:pPr>
    </w:p>
    <w:p w:rsidR="00221CE8" w:rsidRDefault="00221CE8" w:rsidP="00221CE8">
      <w:pPr>
        <w:jc w:val="center"/>
        <w:rPr>
          <w:rFonts w:ascii="Times New Roman" w:hAnsi="Times New Roman" w:cs="Times New Roman"/>
          <w:b/>
          <w:sz w:val="28"/>
          <w:szCs w:val="28"/>
          <w:lang w:val="en-US"/>
        </w:rPr>
      </w:pPr>
      <w:r w:rsidRPr="0008626B">
        <w:rPr>
          <w:rFonts w:ascii="Times New Roman" w:hAnsi="Times New Roman" w:cs="Times New Roman"/>
          <w:b/>
          <w:sz w:val="28"/>
          <w:szCs w:val="28"/>
          <w:lang w:val="en-US"/>
        </w:rPr>
        <w:lastRenderedPageBreak/>
        <w:t xml:space="preserve">Progress Report on the </w:t>
      </w:r>
      <w:r>
        <w:rPr>
          <w:rFonts w:ascii="Times New Roman" w:hAnsi="Times New Roman" w:cs="Times New Roman"/>
          <w:b/>
          <w:sz w:val="28"/>
          <w:szCs w:val="28"/>
          <w:lang w:val="en-US"/>
        </w:rPr>
        <w:t>2</w:t>
      </w:r>
      <w:r w:rsidRPr="00221CE8">
        <w:rPr>
          <w:rFonts w:ascii="Times New Roman" w:hAnsi="Times New Roman" w:cs="Times New Roman"/>
          <w:b/>
          <w:sz w:val="28"/>
          <w:szCs w:val="28"/>
          <w:vertAlign w:val="superscript"/>
          <w:lang w:val="en-US"/>
        </w:rPr>
        <w:t>nd</w:t>
      </w:r>
      <w:r w:rsidRPr="0008626B">
        <w:rPr>
          <w:rFonts w:ascii="Times New Roman" w:hAnsi="Times New Roman" w:cs="Times New Roman"/>
          <w:b/>
          <w:sz w:val="28"/>
          <w:szCs w:val="28"/>
          <w:lang w:val="en-US"/>
        </w:rPr>
        <w:t xml:space="preserve"> stage of </w:t>
      </w:r>
      <w:r>
        <w:rPr>
          <w:rFonts w:ascii="Times New Roman" w:hAnsi="Times New Roman" w:cs="Times New Roman"/>
          <w:b/>
          <w:sz w:val="28"/>
          <w:szCs w:val="28"/>
          <w:lang w:val="en-US"/>
        </w:rPr>
        <w:t xml:space="preserve">the </w:t>
      </w:r>
      <w:r w:rsidRPr="0008626B">
        <w:rPr>
          <w:rFonts w:ascii="Times New Roman" w:hAnsi="Times New Roman" w:cs="Times New Roman"/>
          <w:b/>
          <w:sz w:val="28"/>
          <w:szCs w:val="28"/>
          <w:lang w:val="en-US"/>
        </w:rPr>
        <w:t>scientific research work “Characteristics of the electroneuromyographic parameters of patients with musculoskeletal pain syndromes before and after treatment with the method of Proprioceptive-Deep Tendon Reflex (P-DTR)”</w:t>
      </w:r>
    </w:p>
    <w:p w:rsidR="00F772B6" w:rsidRPr="00221CE8" w:rsidRDefault="0022532B" w:rsidP="00F772B6">
      <w:pPr>
        <w:widowControl w:val="0"/>
        <w:autoSpaceDE w:val="0"/>
        <w:autoSpaceDN w:val="0"/>
        <w:spacing w:after="0" w:line="240" w:lineRule="auto"/>
        <w:jc w:val="both"/>
        <w:rPr>
          <w:rFonts w:ascii="Times New Roman" w:eastAsia="Calibri" w:hAnsi="Times New Roman" w:cs="Times New Roman"/>
          <w:b/>
          <w:sz w:val="28"/>
          <w:szCs w:val="28"/>
          <w:lang w:val="en-US"/>
        </w:rPr>
      </w:pPr>
      <w:r w:rsidRPr="00221CE8">
        <w:rPr>
          <w:rFonts w:ascii="Times New Roman" w:eastAsia="Calibri" w:hAnsi="Times New Roman" w:cs="Times New Roman"/>
          <w:sz w:val="28"/>
          <w:szCs w:val="28"/>
          <w:lang w:val="en-US"/>
        </w:rPr>
        <w:t xml:space="preserve">   </w:t>
      </w:r>
      <w:r w:rsidR="00221CE8">
        <w:rPr>
          <w:rFonts w:ascii="Times New Roman" w:eastAsia="Calibri" w:hAnsi="Times New Roman" w:cs="Times New Roman"/>
          <w:b/>
          <w:sz w:val="28"/>
          <w:szCs w:val="28"/>
          <w:lang w:val="en-US"/>
        </w:rPr>
        <w:t>The tasks of the 2</w:t>
      </w:r>
      <w:r w:rsidR="00221CE8" w:rsidRPr="00221CE8">
        <w:rPr>
          <w:rFonts w:ascii="Times New Roman" w:eastAsia="Calibri" w:hAnsi="Times New Roman" w:cs="Times New Roman"/>
          <w:b/>
          <w:sz w:val="28"/>
          <w:szCs w:val="28"/>
          <w:vertAlign w:val="superscript"/>
          <w:lang w:val="en-US"/>
        </w:rPr>
        <w:t>nd</w:t>
      </w:r>
      <w:r w:rsidR="00221CE8">
        <w:rPr>
          <w:rFonts w:ascii="Times New Roman" w:eastAsia="Calibri" w:hAnsi="Times New Roman" w:cs="Times New Roman"/>
          <w:b/>
          <w:sz w:val="28"/>
          <w:szCs w:val="28"/>
          <w:lang w:val="en-US"/>
        </w:rPr>
        <w:t xml:space="preserve"> stage of research</w:t>
      </w:r>
      <w:r w:rsidR="00F772B6" w:rsidRPr="00221CE8">
        <w:rPr>
          <w:rFonts w:ascii="Times New Roman" w:eastAsia="Calibri" w:hAnsi="Times New Roman" w:cs="Times New Roman"/>
          <w:b/>
          <w:sz w:val="28"/>
          <w:szCs w:val="28"/>
          <w:lang w:val="en-US"/>
        </w:rPr>
        <w:t>:</w:t>
      </w:r>
    </w:p>
    <w:p w:rsidR="00F772B6" w:rsidRPr="00221CE8"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p>
    <w:p w:rsidR="00F772B6" w:rsidRPr="00F0525E" w:rsidRDefault="00C35CE2" w:rsidP="00C35CE2">
      <w:pPr>
        <w:widowControl w:val="0"/>
        <w:numPr>
          <w:ilvl w:val="0"/>
          <w:numId w:val="2"/>
        </w:numPr>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Selection</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of</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patients</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in</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the</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age</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of</w:t>
      </w:r>
      <w:r w:rsidRPr="00C35CE2">
        <w:rPr>
          <w:rFonts w:ascii="Times New Roman" w:eastAsia="Calibri" w:hAnsi="Times New Roman" w:cs="Times New Roman"/>
          <w:sz w:val="28"/>
          <w:szCs w:val="28"/>
          <w:lang w:val="en-US"/>
        </w:rPr>
        <w:t xml:space="preserve"> 15-80 </w:t>
      </w:r>
      <w:r>
        <w:rPr>
          <w:rFonts w:ascii="Times New Roman" w:eastAsia="Calibri" w:hAnsi="Times New Roman" w:cs="Times New Roman"/>
          <w:sz w:val="28"/>
          <w:szCs w:val="28"/>
          <w:lang w:val="en-US"/>
        </w:rPr>
        <w:t>having</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pain</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syndromes</w:t>
      </w:r>
      <w:r w:rsidRPr="00C35CE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of</w:t>
      </w:r>
      <w:r w:rsidRPr="00C35CE2">
        <w:rPr>
          <w:rFonts w:ascii="Times New Roman" w:eastAsia="Calibri" w:hAnsi="Times New Roman" w:cs="Times New Roman"/>
          <w:sz w:val="28"/>
          <w:szCs w:val="28"/>
          <w:lang w:val="en-US"/>
        </w:rPr>
        <w:t xml:space="preserve"> the musculoskeletal system</w:t>
      </w:r>
      <w:r>
        <w:rPr>
          <w:rFonts w:ascii="Times New Roman" w:eastAsia="Calibri" w:hAnsi="Times New Roman" w:cs="Times New Roman"/>
          <w:sz w:val="28"/>
          <w:szCs w:val="28"/>
          <w:lang w:val="en-US"/>
        </w:rPr>
        <w:t xml:space="preserve"> for researches, no less than 100 individuals.</w:t>
      </w:r>
    </w:p>
    <w:p w:rsidR="00F772B6" w:rsidRPr="00F0525E"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p>
    <w:p w:rsidR="00F772B6" w:rsidRPr="00F0525E" w:rsidRDefault="005101CE" w:rsidP="00F772B6">
      <w:pPr>
        <w:widowControl w:val="0"/>
        <w:numPr>
          <w:ilvl w:val="0"/>
          <w:numId w:val="2"/>
        </w:numPr>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Work</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with</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the</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patients</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having</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pain</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syndromes</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of</w:t>
      </w:r>
      <w:r w:rsidRPr="00F0525E">
        <w:rPr>
          <w:rFonts w:ascii="Times New Roman" w:eastAsia="Calibri" w:hAnsi="Times New Roman" w:cs="Times New Roman"/>
          <w:sz w:val="28"/>
          <w:szCs w:val="28"/>
          <w:lang w:val="en-US"/>
        </w:rPr>
        <w:t xml:space="preserve"> </w:t>
      </w:r>
      <w:r w:rsidRPr="00C35CE2">
        <w:rPr>
          <w:rFonts w:ascii="Times New Roman" w:eastAsia="Calibri" w:hAnsi="Times New Roman" w:cs="Times New Roman"/>
          <w:sz w:val="28"/>
          <w:szCs w:val="28"/>
          <w:lang w:val="en-US"/>
        </w:rPr>
        <w:t>the</w:t>
      </w:r>
      <w:r w:rsidRPr="00F0525E">
        <w:rPr>
          <w:rFonts w:ascii="Times New Roman" w:eastAsia="Calibri" w:hAnsi="Times New Roman" w:cs="Times New Roman"/>
          <w:sz w:val="28"/>
          <w:szCs w:val="28"/>
          <w:lang w:val="en-US"/>
        </w:rPr>
        <w:t xml:space="preserve"> </w:t>
      </w:r>
      <w:r w:rsidRPr="00C35CE2">
        <w:rPr>
          <w:rFonts w:ascii="Times New Roman" w:eastAsia="Calibri" w:hAnsi="Times New Roman" w:cs="Times New Roman"/>
          <w:sz w:val="28"/>
          <w:szCs w:val="28"/>
          <w:lang w:val="en-US"/>
        </w:rPr>
        <w:t>musculoskeletal</w:t>
      </w:r>
      <w:r w:rsidRPr="00F0525E">
        <w:rPr>
          <w:rFonts w:ascii="Times New Roman" w:eastAsia="Calibri" w:hAnsi="Times New Roman" w:cs="Times New Roman"/>
          <w:sz w:val="28"/>
          <w:szCs w:val="28"/>
          <w:lang w:val="en-US"/>
        </w:rPr>
        <w:t xml:space="preserve"> </w:t>
      </w:r>
      <w:r w:rsidRPr="00C35CE2">
        <w:rPr>
          <w:rFonts w:ascii="Times New Roman" w:eastAsia="Calibri" w:hAnsi="Times New Roman" w:cs="Times New Roman"/>
          <w:sz w:val="28"/>
          <w:szCs w:val="28"/>
          <w:lang w:val="en-US"/>
        </w:rPr>
        <w:t>system</w:t>
      </w:r>
      <w:r w:rsidRPr="00F0525E">
        <w:rPr>
          <w:rFonts w:ascii="Times New Roman" w:eastAsia="Calibri" w:hAnsi="Times New Roman" w:cs="Times New Roman"/>
          <w:sz w:val="28"/>
          <w:szCs w:val="28"/>
          <w:lang w:val="en-US"/>
        </w:rPr>
        <w:t xml:space="preserve">: </w:t>
      </w:r>
    </w:p>
    <w:p w:rsidR="00F772B6" w:rsidRPr="00F0525E"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p>
    <w:p w:rsidR="00F772B6" w:rsidRPr="005101CE"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5101CE">
        <w:rPr>
          <w:rFonts w:ascii="Times New Roman" w:eastAsia="Calibri" w:hAnsi="Times New Roman" w:cs="Times New Roman"/>
          <w:sz w:val="28"/>
          <w:szCs w:val="28"/>
          <w:lang w:val="en-US"/>
        </w:rPr>
        <w:t xml:space="preserve">      - </w:t>
      </w:r>
      <w:r w:rsidR="005101CE">
        <w:rPr>
          <w:rFonts w:ascii="Times New Roman" w:eastAsia="Calibri" w:hAnsi="Times New Roman" w:cs="Times New Roman"/>
          <w:sz w:val="28"/>
          <w:szCs w:val="28"/>
          <w:lang w:val="en-US"/>
        </w:rPr>
        <w:t>finding</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out</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the</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primary</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and</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secondary</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dysfunctional</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receptor</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fields</w:t>
      </w:r>
      <w:r w:rsidR="005101CE" w:rsidRPr="005101CE">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by</w:t>
      </w:r>
      <w:r w:rsidR="005101CE" w:rsidRPr="005101CE">
        <w:rPr>
          <w:rFonts w:ascii="Times New Roman" w:eastAsia="Calibri" w:hAnsi="Times New Roman" w:cs="Times New Roman"/>
          <w:sz w:val="28"/>
          <w:szCs w:val="28"/>
          <w:lang w:val="en-US"/>
        </w:rPr>
        <w:t xml:space="preserve"> </w:t>
      </w:r>
      <w:r w:rsidR="005101CE">
        <w:rPr>
          <w:rFonts w:ascii="Times New Roman" w:hAnsi="Times New Roman" w:cs="Times New Roman"/>
          <w:sz w:val="28"/>
          <w:szCs w:val="28"/>
          <w:lang w:val="en-US"/>
        </w:rPr>
        <w:t>the</w:t>
      </w:r>
      <w:r w:rsidR="005101CE" w:rsidRPr="005101CE">
        <w:rPr>
          <w:rFonts w:ascii="Times New Roman" w:hAnsi="Times New Roman" w:cs="Times New Roman"/>
          <w:sz w:val="28"/>
          <w:szCs w:val="28"/>
          <w:lang w:val="en-US"/>
        </w:rPr>
        <w:t xml:space="preserve"> </w:t>
      </w:r>
      <w:r w:rsidR="005101CE">
        <w:rPr>
          <w:rFonts w:ascii="Times New Roman" w:hAnsi="Times New Roman" w:cs="Times New Roman"/>
          <w:sz w:val="28"/>
          <w:szCs w:val="28"/>
          <w:lang w:val="en-US"/>
        </w:rPr>
        <w:t>method</w:t>
      </w:r>
      <w:r w:rsidR="005101CE" w:rsidRPr="005101CE">
        <w:rPr>
          <w:rFonts w:ascii="Times New Roman" w:hAnsi="Times New Roman" w:cs="Times New Roman"/>
          <w:sz w:val="28"/>
          <w:szCs w:val="28"/>
          <w:lang w:val="en-US"/>
        </w:rPr>
        <w:t xml:space="preserve"> </w:t>
      </w:r>
      <w:r w:rsidR="005101CE">
        <w:rPr>
          <w:rFonts w:ascii="Times New Roman" w:hAnsi="Times New Roman" w:cs="Times New Roman"/>
          <w:sz w:val="28"/>
          <w:szCs w:val="28"/>
          <w:lang w:val="en-US"/>
        </w:rPr>
        <w:t>of P</w:t>
      </w:r>
      <w:r w:rsidR="005101CE" w:rsidRPr="005101CE">
        <w:rPr>
          <w:rFonts w:ascii="Times New Roman" w:hAnsi="Times New Roman" w:cs="Times New Roman"/>
          <w:sz w:val="28"/>
          <w:szCs w:val="28"/>
          <w:lang w:val="en-US"/>
        </w:rPr>
        <w:t>-</w:t>
      </w:r>
      <w:r w:rsidR="005101CE">
        <w:rPr>
          <w:rFonts w:ascii="Times New Roman" w:hAnsi="Times New Roman" w:cs="Times New Roman"/>
          <w:sz w:val="28"/>
          <w:szCs w:val="28"/>
          <w:lang w:val="en-US"/>
        </w:rPr>
        <w:t>DTR</w:t>
      </w:r>
      <w:r w:rsidRPr="005101CE">
        <w:rPr>
          <w:rFonts w:ascii="Times New Roman" w:eastAsia="Calibri" w:hAnsi="Times New Roman" w:cs="Times New Roman"/>
          <w:sz w:val="28"/>
          <w:szCs w:val="28"/>
          <w:lang w:val="en-US"/>
        </w:rPr>
        <w:t>;</w:t>
      </w:r>
    </w:p>
    <w:p w:rsidR="00F772B6" w:rsidRPr="00305978"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305978">
        <w:rPr>
          <w:rFonts w:ascii="Times New Roman" w:eastAsia="Calibri" w:hAnsi="Times New Roman" w:cs="Times New Roman"/>
          <w:sz w:val="28"/>
          <w:szCs w:val="28"/>
          <w:lang w:val="en-US"/>
        </w:rPr>
        <w:t xml:space="preserve">     </w:t>
      </w:r>
      <w:r w:rsidR="0043100E" w:rsidRPr="00305978">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electromyographic</w:t>
      </w:r>
      <w:r w:rsidR="005101CE" w:rsidRPr="00305978">
        <w:rPr>
          <w:rFonts w:ascii="Times New Roman" w:eastAsia="Calibri" w:hAnsi="Times New Roman" w:cs="Times New Roman"/>
          <w:sz w:val="28"/>
          <w:szCs w:val="28"/>
          <w:lang w:val="en-US"/>
        </w:rPr>
        <w:t xml:space="preserve"> </w:t>
      </w:r>
      <w:r w:rsidR="005101CE">
        <w:rPr>
          <w:rFonts w:ascii="Times New Roman" w:eastAsia="Calibri" w:hAnsi="Times New Roman" w:cs="Times New Roman"/>
          <w:sz w:val="28"/>
          <w:szCs w:val="28"/>
          <w:lang w:val="en-US"/>
        </w:rPr>
        <w:t>research</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of</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the</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primary</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and</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secondary receptor</w:t>
      </w:r>
      <w:r w:rsidR="00305978" w:rsidRPr="005101CE">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fields</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 xml:space="preserve">before </w:t>
      </w:r>
      <w:r w:rsidR="00305978" w:rsidRPr="00FA082A">
        <w:rPr>
          <w:rFonts w:ascii="Times New Roman" w:hAnsi="Times New Roman" w:cs="Times New Roman"/>
          <w:sz w:val="28"/>
          <w:szCs w:val="28"/>
          <w:lang w:val="en-US"/>
        </w:rPr>
        <w:t>the P</w:t>
      </w:r>
      <w:r w:rsidR="00702AED">
        <w:rPr>
          <w:rFonts w:ascii="Times New Roman" w:hAnsi="Times New Roman" w:cs="Times New Roman"/>
          <w:sz w:val="28"/>
          <w:szCs w:val="28"/>
          <w:lang w:val="en-US"/>
        </w:rPr>
        <w:noBreakHyphen/>
      </w:r>
      <w:r w:rsidR="00305978" w:rsidRPr="00FA082A">
        <w:rPr>
          <w:rFonts w:ascii="Times New Roman" w:hAnsi="Times New Roman" w:cs="Times New Roman"/>
          <w:sz w:val="28"/>
          <w:szCs w:val="28"/>
          <w:lang w:val="en-US"/>
        </w:rPr>
        <w:t>DTR treatment;</w:t>
      </w:r>
    </w:p>
    <w:p w:rsidR="00F772B6" w:rsidRPr="00305978"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305978">
        <w:rPr>
          <w:rFonts w:ascii="Times New Roman" w:eastAsia="Calibri" w:hAnsi="Times New Roman" w:cs="Times New Roman"/>
          <w:sz w:val="28"/>
          <w:szCs w:val="28"/>
          <w:lang w:val="en-US"/>
        </w:rPr>
        <w:t xml:space="preserve">     -  </w:t>
      </w:r>
      <w:r w:rsidR="00305978">
        <w:rPr>
          <w:rFonts w:ascii="Times New Roman" w:eastAsia="Calibri" w:hAnsi="Times New Roman" w:cs="Times New Roman"/>
          <w:sz w:val="28"/>
          <w:szCs w:val="28"/>
          <w:lang w:val="en-US"/>
        </w:rPr>
        <w:t>electromyographic</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research</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of</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the</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normal</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receptor</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field</w:t>
      </w:r>
      <w:r w:rsidR="00305978" w:rsidRPr="00305978">
        <w:rPr>
          <w:rFonts w:ascii="Times New Roman" w:eastAsia="Calibri" w:hAnsi="Times New Roman" w:cs="Times New Roman"/>
          <w:sz w:val="28"/>
          <w:szCs w:val="28"/>
          <w:lang w:val="en-US"/>
        </w:rPr>
        <w:t xml:space="preserve">, </w:t>
      </w:r>
      <w:r w:rsidR="00702AED">
        <w:rPr>
          <w:rFonts w:ascii="Times New Roman" w:eastAsia="Calibri" w:hAnsi="Times New Roman" w:cs="Times New Roman"/>
          <w:sz w:val="28"/>
          <w:szCs w:val="28"/>
          <w:lang w:val="en-US"/>
        </w:rPr>
        <w:t>research of induced</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primary</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and</w:t>
      </w:r>
      <w:r w:rsidR="00305978" w:rsidRPr="00305978">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secondary receptor</w:t>
      </w:r>
      <w:r w:rsidR="00305978" w:rsidRPr="005101CE">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fields</w:t>
      </w:r>
      <w:r w:rsidRPr="00305978">
        <w:rPr>
          <w:rFonts w:ascii="Times New Roman" w:eastAsia="Calibri" w:hAnsi="Times New Roman" w:cs="Times New Roman"/>
          <w:sz w:val="28"/>
          <w:szCs w:val="28"/>
          <w:lang w:val="en-US"/>
        </w:rPr>
        <w:t>;</w:t>
      </w:r>
    </w:p>
    <w:p w:rsidR="00F772B6" w:rsidRPr="00702AED"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702AED">
        <w:rPr>
          <w:rFonts w:ascii="Times New Roman" w:eastAsia="Calibri" w:hAnsi="Times New Roman" w:cs="Times New Roman"/>
          <w:sz w:val="28"/>
          <w:szCs w:val="28"/>
          <w:lang w:val="en-US"/>
        </w:rPr>
        <w:t xml:space="preserve">     - </w:t>
      </w:r>
      <w:r w:rsidR="00305978">
        <w:rPr>
          <w:rFonts w:ascii="Times New Roman" w:eastAsia="Calibri" w:hAnsi="Times New Roman" w:cs="Times New Roman"/>
          <w:sz w:val="28"/>
          <w:szCs w:val="28"/>
          <w:lang w:val="en-US"/>
        </w:rPr>
        <w:t>measuring</w:t>
      </w:r>
      <w:r w:rsidR="00305978" w:rsidRPr="00702AED">
        <w:rPr>
          <w:rFonts w:ascii="Times New Roman" w:eastAsia="Calibri" w:hAnsi="Times New Roman" w:cs="Times New Roman"/>
          <w:sz w:val="28"/>
          <w:szCs w:val="28"/>
          <w:lang w:val="en-US"/>
        </w:rPr>
        <w:t xml:space="preserve"> </w:t>
      </w:r>
      <w:r w:rsidR="003B05A7">
        <w:rPr>
          <w:rFonts w:ascii="Times New Roman" w:eastAsia="Calibri" w:hAnsi="Times New Roman" w:cs="Times New Roman"/>
          <w:sz w:val="28"/>
          <w:szCs w:val="28"/>
          <w:lang w:val="en-US"/>
        </w:rPr>
        <w:t>affect</w:t>
      </w:r>
      <w:r w:rsidR="00305978" w:rsidRPr="00702AED">
        <w:rPr>
          <w:rFonts w:ascii="Times New Roman" w:eastAsia="Calibri" w:hAnsi="Times New Roman" w:cs="Times New Roman"/>
          <w:sz w:val="28"/>
          <w:szCs w:val="28"/>
          <w:lang w:val="en-US"/>
        </w:rPr>
        <w:t xml:space="preserve"> </w:t>
      </w:r>
      <w:r w:rsidR="00305978">
        <w:rPr>
          <w:rFonts w:ascii="Times New Roman" w:eastAsia="Calibri" w:hAnsi="Times New Roman" w:cs="Times New Roman"/>
          <w:sz w:val="28"/>
          <w:szCs w:val="28"/>
          <w:lang w:val="en-US"/>
        </w:rPr>
        <w:t>of</w:t>
      </w:r>
      <w:r w:rsidR="00305978" w:rsidRPr="00702AED">
        <w:rPr>
          <w:rFonts w:ascii="Times New Roman" w:eastAsia="Calibri" w:hAnsi="Times New Roman" w:cs="Times New Roman"/>
          <w:sz w:val="28"/>
          <w:szCs w:val="28"/>
          <w:lang w:val="en-US"/>
        </w:rPr>
        <w:t xml:space="preserve"> </w:t>
      </w:r>
      <w:r w:rsidR="00702AED">
        <w:rPr>
          <w:rFonts w:ascii="Times New Roman" w:eastAsia="Calibri" w:hAnsi="Times New Roman" w:cs="Times New Roman"/>
          <w:sz w:val="28"/>
          <w:szCs w:val="28"/>
          <w:lang w:val="en-US"/>
        </w:rPr>
        <w:t>the</w:t>
      </w:r>
      <w:r w:rsidR="00702AED" w:rsidRPr="00702AED">
        <w:rPr>
          <w:rFonts w:ascii="Times New Roman" w:eastAsia="Calibri" w:hAnsi="Times New Roman" w:cs="Times New Roman"/>
          <w:sz w:val="28"/>
          <w:szCs w:val="28"/>
          <w:lang w:val="en-US"/>
        </w:rPr>
        <w:t xml:space="preserve"> </w:t>
      </w:r>
      <w:r w:rsidR="00702AED">
        <w:rPr>
          <w:rFonts w:ascii="Times New Roman" w:eastAsia="Calibri" w:hAnsi="Times New Roman" w:cs="Times New Roman"/>
          <w:sz w:val="28"/>
          <w:szCs w:val="28"/>
          <w:lang w:val="en-US"/>
        </w:rPr>
        <w:t>primary</w:t>
      </w:r>
      <w:r w:rsidR="00305978" w:rsidRPr="00702AED">
        <w:rPr>
          <w:rFonts w:ascii="Times New Roman" w:eastAsia="Calibri" w:hAnsi="Times New Roman" w:cs="Times New Roman"/>
          <w:sz w:val="28"/>
          <w:szCs w:val="28"/>
          <w:lang w:val="en-US"/>
        </w:rPr>
        <w:t xml:space="preserve"> </w:t>
      </w:r>
      <w:r w:rsidR="00702AED">
        <w:rPr>
          <w:rFonts w:ascii="Times New Roman" w:eastAsia="Calibri" w:hAnsi="Times New Roman" w:cs="Times New Roman"/>
          <w:sz w:val="28"/>
          <w:szCs w:val="28"/>
          <w:lang w:val="en-US"/>
        </w:rPr>
        <w:t>receptor</w:t>
      </w:r>
      <w:r w:rsidR="00702AED" w:rsidRPr="005101CE">
        <w:rPr>
          <w:rFonts w:ascii="Times New Roman" w:eastAsia="Calibri" w:hAnsi="Times New Roman" w:cs="Times New Roman"/>
          <w:sz w:val="28"/>
          <w:szCs w:val="28"/>
          <w:lang w:val="en-US"/>
        </w:rPr>
        <w:t xml:space="preserve"> </w:t>
      </w:r>
      <w:r w:rsidR="00702AED">
        <w:rPr>
          <w:rFonts w:ascii="Times New Roman" w:eastAsia="Calibri" w:hAnsi="Times New Roman" w:cs="Times New Roman"/>
          <w:sz w:val="28"/>
          <w:szCs w:val="28"/>
          <w:lang w:val="en-US"/>
        </w:rPr>
        <w:t xml:space="preserve">field </w:t>
      </w:r>
      <w:r w:rsidR="003B05A7">
        <w:rPr>
          <w:rFonts w:ascii="Times New Roman" w:eastAsia="Calibri" w:hAnsi="Times New Roman" w:cs="Times New Roman"/>
          <w:sz w:val="28"/>
          <w:szCs w:val="28"/>
          <w:lang w:val="en-US"/>
        </w:rPr>
        <w:t>on associated and indicator muscle</w:t>
      </w:r>
      <w:r w:rsidRPr="00702AED">
        <w:rPr>
          <w:rFonts w:ascii="Times New Roman" w:eastAsia="Calibri" w:hAnsi="Times New Roman" w:cs="Times New Roman"/>
          <w:sz w:val="28"/>
          <w:szCs w:val="28"/>
          <w:lang w:val="en-US"/>
        </w:rPr>
        <w:t>;</w:t>
      </w:r>
    </w:p>
    <w:p w:rsidR="00F772B6" w:rsidRPr="0087665A"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702AED">
        <w:rPr>
          <w:rFonts w:ascii="Times New Roman" w:eastAsia="Calibri" w:hAnsi="Times New Roman" w:cs="Times New Roman"/>
          <w:sz w:val="28"/>
          <w:szCs w:val="28"/>
          <w:lang w:val="en-US"/>
        </w:rPr>
        <w:t xml:space="preserve">     </w:t>
      </w:r>
      <w:r w:rsidRPr="0087665A">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measuring</w:t>
      </w:r>
      <w:r w:rsidR="0087665A" w:rsidRPr="00702AED">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affect</w:t>
      </w:r>
      <w:r w:rsidR="0087665A" w:rsidRPr="00702AED">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of</w:t>
      </w:r>
      <w:r w:rsidR="0087665A" w:rsidRPr="00702AED">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the</w:t>
      </w:r>
      <w:r w:rsidR="0087665A" w:rsidRPr="00702AED">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secondary</w:t>
      </w:r>
      <w:r w:rsidR="0087665A" w:rsidRPr="00702AED">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receptor</w:t>
      </w:r>
      <w:r w:rsidR="0087665A" w:rsidRPr="005101CE">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field on associated and indicator muscle</w:t>
      </w:r>
      <w:r w:rsidR="0087665A" w:rsidRPr="00702AED">
        <w:rPr>
          <w:rFonts w:ascii="Times New Roman" w:eastAsia="Calibri" w:hAnsi="Times New Roman" w:cs="Times New Roman"/>
          <w:sz w:val="28"/>
          <w:szCs w:val="28"/>
          <w:lang w:val="en-US"/>
        </w:rPr>
        <w:t>;</w:t>
      </w:r>
    </w:p>
    <w:p w:rsidR="00F772B6" w:rsidRPr="0087665A"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87665A">
        <w:rPr>
          <w:rFonts w:ascii="Times New Roman" w:eastAsia="Calibri" w:hAnsi="Times New Roman" w:cs="Times New Roman"/>
          <w:sz w:val="28"/>
          <w:szCs w:val="28"/>
          <w:lang w:val="en-US"/>
        </w:rPr>
        <w:t xml:space="preserve">     -  </w:t>
      </w:r>
      <w:r w:rsidR="0087665A">
        <w:rPr>
          <w:rFonts w:ascii="Times New Roman" w:eastAsia="Calibri" w:hAnsi="Times New Roman" w:cs="Times New Roman"/>
          <w:sz w:val="28"/>
          <w:szCs w:val="28"/>
          <w:lang w:val="en-US"/>
        </w:rPr>
        <w:t>registration</w:t>
      </w:r>
      <w:r w:rsidR="0087665A" w:rsidRPr="0087665A">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of</w:t>
      </w:r>
      <w:r w:rsidR="0087665A" w:rsidRPr="0087665A">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interceptive</w:t>
      </w:r>
      <w:r w:rsidR="0087665A" w:rsidRPr="0087665A">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suppression</w:t>
      </w:r>
      <w:r w:rsidR="002F580C">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 xml:space="preserve">before </w:t>
      </w:r>
      <w:r w:rsidR="0087665A" w:rsidRPr="00FA082A">
        <w:rPr>
          <w:rFonts w:ascii="Times New Roman" w:hAnsi="Times New Roman" w:cs="Times New Roman"/>
          <w:sz w:val="28"/>
          <w:szCs w:val="28"/>
          <w:lang w:val="en-US"/>
        </w:rPr>
        <w:t>the P</w:t>
      </w:r>
      <w:r w:rsidR="0087665A">
        <w:rPr>
          <w:rFonts w:ascii="Times New Roman" w:hAnsi="Times New Roman" w:cs="Times New Roman"/>
          <w:sz w:val="28"/>
          <w:szCs w:val="28"/>
          <w:lang w:val="en-US"/>
        </w:rPr>
        <w:noBreakHyphen/>
      </w:r>
      <w:r w:rsidR="0087665A" w:rsidRPr="00FA082A">
        <w:rPr>
          <w:rFonts w:ascii="Times New Roman" w:hAnsi="Times New Roman" w:cs="Times New Roman"/>
          <w:sz w:val="28"/>
          <w:szCs w:val="28"/>
          <w:lang w:val="en-US"/>
        </w:rPr>
        <w:t>DTR treatment;</w:t>
      </w:r>
    </w:p>
    <w:p w:rsidR="00F772B6" w:rsidRPr="0087665A"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87665A">
        <w:rPr>
          <w:rFonts w:ascii="Times New Roman" w:eastAsia="Calibri" w:hAnsi="Times New Roman" w:cs="Times New Roman"/>
          <w:sz w:val="28"/>
          <w:szCs w:val="28"/>
          <w:lang w:val="en-US"/>
        </w:rPr>
        <w:t xml:space="preserve">     -  </w:t>
      </w:r>
      <w:r w:rsidR="0087665A">
        <w:rPr>
          <w:rFonts w:ascii="Times New Roman" w:eastAsia="Calibri" w:hAnsi="Times New Roman" w:cs="Times New Roman"/>
          <w:sz w:val="28"/>
          <w:szCs w:val="28"/>
          <w:lang w:val="en-US"/>
        </w:rPr>
        <w:t>registration</w:t>
      </w:r>
      <w:r w:rsidR="0087665A" w:rsidRPr="0087665A">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of</w:t>
      </w:r>
      <w:r w:rsidR="0087665A" w:rsidRPr="0087665A">
        <w:rPr>
          <w:rFonts w:ascii="Times New Roman" w:eastAsia="Calibri" w:hAnsi="Times New Roman" w:cs="Times New Roman"/>
          <w:sz w:val="28"/>
          <w:szCs w:val="28"/>
          <w:lang w:val="en-US"/>
        </w:rPr>
        <w:t xml:space="preserve"> </w:t>
      </w:r>
      <w:r w:rsidR="00F97D64">
        <w:rPr>
          <w:rFonts w:ascii="Times New Roman" w:hAnsi="Times New Roman" w:cs="Times New Roman"/>
          <w:sz w:val="28"/>
          <w:szCs w:val="28"/>
          <w:lang w:val="en-US"/>
        </w:rPr>
        <w:t>caused skin-sympathetic potential</w:t>
      </w:r>
      <w:r w:rsidR="00F97D64">
        <w:rPr>
          <w:rFonts w:ascii="Times New Roman" w:eastAsia="Calibri" w:hAnsi="Times New Roman" w:cs="Times New Roman"/>
          <w:sz w:val="28"/>
          <w:szCs w:val="28"/>
          <w:lang w:val="en-US"/>
        </w:rPr>
        <w:t xml:space="preserve"> </w:t>
      </w:r>
      <w:r w:rsidR="0087665A">
        <w:rPr>
          <w:rFonts w:ascii="Times New Roman" w:eastAsia="Calibri" w:hAnsi="Times New Roman" w:cs="Times New Roman"/>
          <w:sz w:val="28"/>
          <w:szCs w:val="28"/>
          <w:lang w:val="en-US"/>
        </w:rPr>
        <w:t xml:space="preserve">before </w:t>
      </w:r>
      <w:r w:rsidR="0087665A" w:rsidRPr="00FA082A">
        <w:rPr>
          <w:rFonts w:ascii="Times New Roman" w:hAnsi="Times New Roman" w:cs="Times New Roman"/>
          <w:sz w:val="28"/>
          <w:szCs w:val="28"/>
          <w:lang w:val="en-US"/>
        </w:rPr>
        <w:t>the P</w:t>
      </w:r>
      <w:r w:rsidR="0087665A">
        <w:rPr>
          <w:rFonts w:ascii="Times New Roman" w:hAnsi="Times New Roman" w:cs="Times New Roman"/>
          <w:sz w:val="28"/>
          <w:szCs w:val="28"/>
          <w:lang w:val="en-US"/>
        </w:rPr>
        <w:noBreakHyphen/>
      </w:r>
      <w:r w:rsidR="0087665A" w:rsidRPr="00FA082A">
        <w:rPr>
          <w:rFonts w:ascii="Times New Roman" w:hAnsi="Times New Roman" w:cs="Times New Roman"/>
          <w:sz w:val="28"/>
          <w:szCs w:val="28"/>
          <w:lang w:val="en-US"/>
        </w:rPr>
        <w:t>DTR treatment;</w:t>
      </w:r>
    </w:p>
    <w:p w:rsidR="00F772B6" w:rsidRPr="00F0525E"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87665A">
        <w:rPr>
          <w:rFonts w:ascii="Times New Roman" w:eastAsia="Calibri" w:hAnsi="Times New Roman" w:cs="Times New Roman"/>
          <w:sz w:val="28"/>
          <w:szCs w:val="28"/>
          <w:lang w:val="en-US"/>
        </w:rPr>
        <w:t xml:space="preserve">     </w:t>
      </w:r>
      <w:r w:rsidRPr="00F0525E">
        <w:rPr>
          <w:rFonts w:ascii="Times New Roman" w:eastAsia="Calibri" w:hAnsi="Times New Roman" w:cs="Times New Roman"/>
          <w:sz w:val="28"/>
          <w:szCs w:val="28"/>
          <w:lang w:val="en-US"/>
        </w:rPr>
        <w:t xml:space="preserve">-  </w:t>
      </w:r>
      <w:r w:rsidR="0087665A" w:rsidRPr="00FA082A">
        <w:rPr>
          <w:rFonts w:ascii="Times New Roman" w:hAnsi="Times New Roman" w:cs="Times New Roman"/>
          <w:sz w:val="28"/>
          <w:szCs w:val="28"/>
          <w:lang w:val="en-US"/>
        </w:rPr>
        <w:t>P</w:t>
      </w:r>
      <w:r w:rsidR="0087665A" w:rsidRPr="00F0525E">
        <w:rPr>
          <w:rFonts w:ascii="Times New Roman" w:hAnsi="Times New Roman" w:cs="Times New Roman"/>
          <w:sz w:val="28"/>
          <w:szCs w:val="28"/>
          <w:lang w:val="en-US"/>
        </w:rPr>
        <w:noBreakHyphen/>
      </w:r>
      <w:r w:rsidR="0087665A" w:rsidRPr="00FA082A">
        <w:rPr>
          <w:rFonts w:ascii="Times New Roman" w:hAnsi="Times New Roman" w:cs="Times New Roman"/>
          <w:sz w:val="28"/>
          <w:szCs w:val="28"/>
          <w:lang w:val="en-US"/>
        </w:rPr>
        <w:t>DTR</w:t>
      </w:r>
      <w:r w:rsidR="0087665A" w:rsidRPr="00F0525E">
        <w:rPr>
          <w:rFonts w:ascii="Times New Roman" w:hAnsi="Times New Roman" w:cs="Times New Roman"/>
          <w:sz w:val="28"/>
          <w:szCs w:val="28"/>
          <w:lang w:val="en-US"/>
        </w:rPr>
        <w:t xml:space="preserve"> </w:t>
      </w:r>
      <w:r w:rsidR="0087665A" w:rsidRPr="00FA082A">
        <w:rPr>
          <w:rFonts w:ascii="Times New Roman" w:hAnsi="Times New Roman" w:cs="Times New Roman"/>
          <w:sz w:val="28"/>
          <w:szCs w:val="28"/>
          <w:lang w:val="en-US"/>
        </w:rPr>
        <w:t>treatment</w:t>
      </w:r>
      <w:r w:rsidRPr="00F0525E">
        <w:rPr>
          <w:rFonts w:ascii="Times New Roman" w:eastAsia="Calibri" w:hAnsi="Times New Roman" w:cs="Times New Roman"/>
          <w:sz w:val="28"/>
          <w:szCs w:val="28"/>
          <w:lang w:val="en-US"/>
        </w:rPr>
        <w:t>;</w:t>
      </w:r>
    </w:p>
    <w:p w:rsidR="00F772B6" w:rsidRPr="00F0525E"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F0525E">
        <w:rPr>
          <w:rFonts w:ascii="Times New Roman" w:eastAsia="Calibri" w:hAnsi="Times New Roman" w:cs="Times New Roman"/>
          <w:sz w:val="28"/>
          <w:szCs w:val="28"/>
          <w:lang w:val="en-US"/>
        </w:rPr>
        <w:t xml:space="preserve">     -  </w:t>
      </w:r>
      <w:r w:rsidR="00C84037">
        <w:rPr>
          <w:rFonts w:ascii="Times New Roman" w:eastAsia="Calibri" w:hAnsi="Times New Roman" w:cs="Times New Roman"/>
          <w:sz w:val="28"/>
          <w:szCs w:val="28"/>
          <w:lang w:val="en-US"/>
        </w:rPr>
        <w:t>follow</w:t>
      </w:r>
      <w:r w:rsidR="00C84037" w:rsidRPr="00F0525E">
        <w:rPr>
          <w:rFonts w:ascii="Times New Roman" w:eastAsia="Calibri" w:hAnsi="Times New Roman" w:cs="Times New Roman"/>
          <w:sz w:val="28"/>
          <w:szCs w:val="28"/>
          <w:lang w:val="en-US"/>
        </w:rPr>
        <w:t>-</w:t>
      </w:r>
      <w:r w:rsidR="00C84037">
        <w:rPr>
          <w:rFonts w:ascii="Times New Roman" w:eastAsia="Calibri" w:hAnsi="Times New Roman" w:cs="Times New Roman"/>
          <w:sz w:val="28"/>
          <w:szCs w:val="28"/>
          <w:lang w:val="en-US"/>
        </w:rPr>
        <w:t>up</w:t>
      </w:r>
      <w:r w:rsidR="00C84037" w:rsidRPr="00F0525E">
        <w:rPr>
          <w:rFonts w:ascii="Times New Roman" w:eastAsia="Calibri" w:hAnsi="Times New Roman" w:cs="Times New Roman"/>
          <w:sz w:val="28"/>
          <w:szCs w:val="28"/>
          <w:lang w:val="en-US"/>
        </w:rPr>
        <w:t xml:space="preserve"> </w:t>
      </w:r>
      <w:r w:rsidR="00C84037">
        <w:rPr>
          <w:rFonts w:ascii="Times New Roman" w:eastAsia="Calibri" w:hAnsi="Times New Roman" w:cs="Times New Roman"/>
          <w:sz w:val="28"/>
          <w:szCs w:val="28"/>
          <w:lang w:val="en-US"/>
        </w:rPr>
        <w:t>electromyographic</w:t>
      </w:r>
      <w:r w:rsidR="00C84037" w:rsidRPr="00F0525E">
        <w:rPr>
          <w:rFonts w:ascii="Times New Roman" w:eastAsia="Calibri" w:hAnsi="Times New Roman" w:cs="Times New Roman"/>
          <w:sz w:val="28"/>
          <w:szCs w:val="28"/>
          <w:lang w:val="en-US"/>
        </w:rPr>
        <w:t xml:space="preserve"> </w:t>
      </w:r>
      <w:r w:rsidR="00C84037">
        <w:rPr>
          <w:rFonts w:ascii="Times New Roman" w:eastAsia="Calibri" w:hAnsi="Times New Roman" w:cs="Times New Roman"/>
          <w:sz w:val="28"/>
          <w:szCs w:val="28"/>
          <w:lang w:val="en-US"/>
        </w:rPr>
        <w:t>research</w:t>
      </w:r>
      <w:r w:rsidRPr="00F0525E">
        <w:rPr>
          <w:rFonts w:ascii="Times New Roman" w:eastAsia="Calibri" w:hAnsi="Times New Roman" w:cs="Times New Roman"/>
          <w:sz w:val="28"/>
          <w:szCs w:val="28"/>
          <w:lang w:val="en-US"/>
        </w:rPr>
        <w:t>;</w:t>
      </w:r>
    </w:p>
    <w:p w:rsidR="00F772B6" w:rsidRPr="00F0525E" w:rsidRDefault="00F772B6" w:rsidP="00F772B6">
      <w:pPr>
        <w:widowControl w:val="0"/>
        <w:autoSpaceDE w:val="0"/>
        <w:autoSpaceDN w:val="0"/>
        <w:spacing w:after="0" w:line="240" w:lineRule="auto"/>
        <w:jc w:val="both"/>
        <w:rPr>
          <w:rFonts w:ascii="Times New Roman" w:eastAsia="Calibri" w:hAnsi="Times New Roman" w:cs="Times New Roman"/>
          <w:sz w:val="28"/>
          <w:szCs w:val="28"/>
          <w:lang w:val="en-US"/>
        </w:rPr>
      </w:pPr>
      <w:r w:rsidRPr="00F0525E">
        <w:rPr>
          <w:rFonts w:ascii="Times New Roman" w:eastAsia="Calibri" w:hAnsi="Times New Roman" w:cs="Times New Roman"/>
          <w:sz w:val="28"/>
          <w:szCs w:val="28"/>
          <w:lang w:val="en-US"/>
        </w:rPr>
        <w:t xml:space="preserve">     </w:t>
      </w:r>
    </w:p>
    <w:p w:rsidR="00F772B6" w:rsidRPr="00F0525E" w:rsidRDefault="00C84037" w:rsidP="00F772B6">
      <w:pPr>
        <w:widowControl w:val="0"/>
        <w:numPr>
          <w:ilvl w:val="0"/>
          <w:numId w:val="2"/>
        </w:numPr>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Academic</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paper</w:t>
      </w:r>
      <w:r w:rsidRPr="00F0525E">
        <w:rPr>
          <w:rFonts w:ascii="Times New Roman" w:eastAsia="Calibri" w:hAnsi="Times New Roman" w:cs="Times New Roman"/>
          <w:sz w:val="28"/>
          <w:szCs w:val="28"/>
          <w:lang w:val="en-US"/>
        </w:rPr>
        <w:t xml:space="preserve"> </w:t>
      </w:r>
      <w:r w:rsidR="00F0525E" w:rsidRPr="00F0525E">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in</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the</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case</w:t>
      </w:r>
      <w:r w:rsidRPr="00F0525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if</w:t>
      </w:r>
      <w:r w:rsidR="00F0525E" w:rsidRPr="00F0525E">
        <w:rPr>
          <w:rFonts w:ascii="Times New Roman" w:eastAsia="Calibri" w:hAnsi="Times New Roman" w:cs="Times New Roman"/>
          <w:sz w:val="28"/>
          <w:szCs w:val="28"/>
          <w:lang w:val="en-US"/>
        </w:rPr>
        <w:t xml:space="preserve"> </w:t>
      </w:r>
      <w:r w:rsidR="00F0525E">
        <w:rPr>
          <w:rFonts w:ascii="Times New Roman" w:eastAsia="Calibri" w:hAnsi="Times New Roman" w:cs="Times New Roman"/>
          <w:sz w:val="28"/>
          <w:szCs w:val="28"/>
          <w:lang w:val="en-US"/>
        </w:rPr>
        <w:t>the correlation between primary and secondary recept</w:t>
      </w:r>
      <w:r w:rsidR="00C1309A">
        <w:rPr>
          <w:rFonts w:ascii="Times New Roman" w:eastAsia="Calibri" w:hAnsi="Times New Roman" w:cs="Times New Roman"/>
          <w:sz w:val="28"/>
          <w:szCs w:val="28"/>
          <w:lang w:val="en-US"/>
        </w:rPr>
        <w:t>or</w:t>
      </w:r>
      <w:r w:rsidR="00F0525E">
        <w:rPr>
          <w:rFonts w:ascii="Times New Roman" w:eastAsia="Calibri" w:hAnsi="Times New Roman" w:cs="Times New Roman"/>
          <w:sz w:val="28"/>
          <w:szCs w:val="28"/>
          <w:lang w:val="en-US"/>
        </w:rPr>
        <w:t xml:space="preserve"> fields will be approved).</w:t>
      </w:r>
    </w:p>
    <w:p w:rsidR="00F772B6" w:rsidRPr="00F0525E" w:rsidRDefault="0022532B" w:rsidP="00E45F00">
      <w:pPr>
        <w:widowControl w:val="0"/>
        <w:autoSpaceDE w:val="0"/>
        <w:autoSpaceDN w:val="0"/>
        <w:spacing w:after="0" w:line="240" w:lineRule="auto"/>
        <w:jc w:val="both"/>
        <w:rPr>
          <w:rFonts w:ascii="Times New Roman" w:eastAsia="Calibri" w:hAnsi="Times New Roman" w:cs="Times New Roman"/>
          <w:sz w:val="28"/>
          <w:szCs w:val="28"/>
          <w:lang w:val="en-US"/>
        </w:rPr>
      </w:pPr>
      <w:r w:rsidRPr="00F0525E">
        <w:rPr>
          <w:rFonts w:ascii="Times New Roman" w:eastAsia="Calibri" w:hAnsi="Times New Roman" w:cs="Times New Roman"/>
          <w:sz w:val="28"/>
          <w:szCs w:val="28"/>
          <w:lang w:val="en-US"/>
        </w:rPr>
        <w:t xml:space="preserve"> </w:t>
      </w:r>
    </w:p>
    <w:p w:rsidR="00F0525E" w:rsidRPr="00F0525E" w:rsidRDefault="00F0525E" w:rsidP="00F0525E">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Electroneuromyographic</w:t>
      </w:r>
      <w:r w:rsidRPr="00305978">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research</w:t>
      </w:r>
      <w:r w:rsidRPr="00305978">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of</w:t>
      </w:r>
      <w:r w:rsidRPr="00305978">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the 2</w:t>
      </w:r>
      <w:r w:rsidRPr="00F0525E">
        <w:rPr>
          <w:rFonts w:ascii="Times New Roman" w:eastAsia="Calibri" w:hAnsi="Times New Roman" w:cs="Times New Roman"/>
          <w:sz w:val="28"/>
          <w:szCs w:val="28"/>
          <w:vertAlign w:val="superscript"/>
          <w:lang w:val="en-US"/>
        </w:rPr>
        <w:t>nd</w:t>
      </w:r>
      <w:r>
        <w:rPr>
          <w:rFonts w:ascii="Times New Roman" w:eastAsia="Calibri" w:hAnsi="Times New Roman" w:cs="Times New Roman"/>
          <w:sz w:val="28"/>
          <w:szCs w:val="28"/>
          <w:lang w:val="en-US"/>
        </w:rPr>
        <w:t xml:space="preserve"> stage was conducted following a special program in accordance with the goals stated:</w:t>
      </w:r>
    </w:p>
    <w:p w:rsidR="00F0525E" w:rsidRDefault="004D5B57" w:rsidP="00E45F0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resear</w:t>
      </w:r>
      <w:r w:rsidR="00F0525E">
        <w:rPr>
          <w:rFonts w:ascii="Times New Roman" w:eastAsia="Calibri" w:hAnsi="Times New Roman" w:cs="Times New Roman"/>
          <w:sz w:val="28"/>
          <w:szCs w:val="28"/>
          <w:lang w:val="en-US"/>
        </w:rPr>
        <w:t>ch of reciprocal influence or primary and secondary dysfunction areas;</w:t>
      </w:r>
    </w:p>
    <w:p w:rsidR="00632116" w:rsidRPr="00607A69" w:rsidRDefault="004D5B57" w:rsidP="00607A69">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632116">
        <w:rPr>
          <w:rFonts w:ascii="Times New Roman" w:eastAsia="Calibri" w:hAnsi="Times New Roman" w:cs="Times New Roman"/>
          <w:sz w:val="28"/>
          <w:szCs w:val="28"/>
          <w:lang w:val="en-US"/>
        </w:rPr>
        <w:t>confirm bigeminy of recept</w:t>
      </w:r>
      <w:r w:rsidR="00C1309A">
        <w:rPr>
          <w:rFonts w:ascii="Times New Roman" w:eastAsia="Calibri" w:hAnsi="Times New Roman" w:cs="Times New Roman"/>
          <w:sz w:val="28"/>
          <w:szCs w:val="28"/>
          <w:lang w:val="en-US"/>
        </w:rPr>
        <w:t>or</w:t>
      </w:r>
      <w:r w:rsidR="00632116">
        <w:rPr>
          <w:rFonts w:ascii="Times New Roman" w:eastAsia="Calibri" w:hAnsi="Times New Roman" w:cs="Times New Roman"/>
          <w:sz w:val="28"/>
          <w:szCs w:val="28"/>
          <w:lang w:val="en-US"/>
        </w:rPr>
        <w:t xml:space="preserve"> fields and compensatory effect of secondary dysfunction areas to primary</w:t>
      </w:r>
      <w:r w:rsidR="00632116" w:rsidRPr="00632116">
        <w:rPr>
          <w:rFonts w:ascii="Times New Roman" w:eastAsia="Calibri" w:hAnsi="Times New Roman" w:cs="Times New Roman"/>
          <w:sz w:val="28"/>
          <w:szCs w:val="28"/>
          <w:lang w:val="en-US"/>
        </w:rPr>
        <w:t xml:space="preserve"> </w:t>
      </w:r>
      <w:r w:rsidR="00632116">
        <w:rPr>
          <w:rFonts w:ascii="Times New Roman" w:eastAsia="Calibri" w:hAnsi="Times New Roman" w:cs="Times New Roman"/>
          <w:sz w:val="28"/>
          <w:szCs w:val="28"/>
          <w:lang w:val="en-US"/>
        </w:rPr>
        <w:t>dysfunction areas.</w:t>
      </w:r>
      <w:r w:rsidR="00607A69" w:rsidRPr="00607A69">
        <w:rPr>
          <w:rFonts w:ascii="Times New Roman" w:eastAsia="Times New Roman" w:hAnsi="Times New Roman" w:cs="Times New Roman"/>
          <w:sz w:val="28"/>
          <w:szCs w:val="28"/>
          <w:lang w:val="en-US" w:eastAsia="ru-RU"/>
        </w:rPr>
        <w:t xml:space="preserve"> </w:t>
      </w:r>
    </w:p>
    <w:p w:rsidR="0006780C" w:rsidRDefault="00632116" w:rsidP="0006780C">
      <w:pPr>
        <w:widowControl w:val="0"/>
        <w:autoSpaceDE w:val="0"/>
        <w:autoSpaceDN w:val="0"/>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Calibri" w:hAnsi="Times New Roman" w:cs="Times New Roman"/>
          <w:sz w:val="28"/>
          <w:szCs w:val="28"/>
          <w:lang w:val="en-US"/>
        </w:rPr>
        <w:t xml:space="preserve">The present research includes </w:t>
      </w:r>
      <w:r w:rsidR="000A5A04">
        <w:rPr>
          <w:rFonts w:ascii="Times New Roman" w:eastAsia="Calibri" w:hAnsi="Times New Roman" w:cs="Times New Roman"/>
          <w:sz w:val="28"/>
          <w:szCs w:val="28"/>
          <w:lang w:val="en-US"/>
        </w:rPr>
        <w:t xml:space="preserve">151 </w:t>
      </w:r>
      <w:r>
        <w:rPr>
          <w:rFonts w:ascii="Times New Roman" w:eastAsia="Calibri" w:hAnsi="Times New Roman" w:cs="Times New Roman"/>
          <w:sz w:val="28"/>
          <w:szCs w:val="28"/>
          <w:lang w:val="en-US"/>
        </w:rPr>
        <w:t xml:space="preserve">patients with different pain syndromes of </w:t>
      </w:r>
      <w:r w:rsidR="000A5A04" w:rsidRPr="000A5A04">
        <w:rPr>
          <w:rFonts w:ascii="Times New Roman" w:eastAsia="Calibri" w:hAnsi="Times New Roman" w:cs="Times New Roman"/>
          <w:sz w:val="28"/>
          <w:szCs w:val="28"/>
          <w:lang w:val="en-US"/>
        </w:rPr>
        <w:t>the musculoskeletal system</w:t>
      </w:r>
      <w:r w:rsidR="000A5A04">
        <w:rPr>
          <w:rFonts w:ascii="Times New Roman" w:eastAsia="Calibri" w:hAnsi="Times New Roman" w:cs="Times New Roman"/>
          <w:sz w:val="28"/>
          <w:szCs w:val="28"/>
          <w:lang w:val="en-US"/>
        </w:rPr>
        <w:t xml:space="preserve">, 78 women and 73 men. </w:t>
      </w:r>
      <w:r w:rsidR="00214338">
        <w:rPr>
          <w:rFonts w:ascii="Times New Roman" w:eastAsia="Times New Roman" w:hAnsi="Times New Roman" w:cs="Times New Roman"/>
          <w:sz w:val="28"/>
          <w:szCs w:val="28"/>
          <w:lang w:val="en-US" w:eastAsia="ru-RU"/>
        </w:rPr>
        <w:t>The most</w:t>
      </w:r>
      <w:r w:rsidR="00607A69">
        <w:rPr>
          <w:rFonts w:ascii="Times New Roman" w:eastAsia="Times New Roman" w:hAnsi="Times New Roman" w:cs="Times New Roman"/>
          <w:sz w:val="28"/>
          <w:szCs w:val="28"/>
          <w:lang w:val="en-US" w:eastAsia="ru-RU"/>
        </w:rPr>
        <w:t xml:space="preserve"> of them were patients with dorsopathies and pathologies of </w:t>
      </w:r>
      <w:r w:rsidR="0040494B">
        <w:rPr>
          <w:rFonts w:ascii="Times New Roman" w:eastAsia="Times New Roman" w:hAnsi="Times New Roman" w:cs="Times New Roman"/>
          <w:sz w:val="28"/>
          <w:szCs w:val="28"/>
          <w:lang w:val="en-US" w:eastAsia="ru-RU"/>
        </w:rPr>
        <w:t xml:space="preserve">lower limb joints. The patients were 18-78 years old, the majority of them were patients older </w:t>
      </w:r>
      <w:r w:rsidR="0040494B" w:rsidRPr="0040494B">
        <w:rPr>
          <w:rFonts w:ascii="Times New Roman" w:eastAsia="Times New Roman" w:hAnsi="Times New Roman" w:cs="Times New Roman"/>
          <w:sz w:val="28"/>
          <w:szCs w:val="28"/>
          <w:lang w:val="en-US" w:eastAsia="ru-RU"/>
        </w:rPr>
        <w:t>than 50 years old.</w:t>
      </w:r>
      <w:r w:rsidR="0040494B">
        <w:rPr>
          <w:rFonts w:ascii="Times New Roman" w:eastAsia="Times New Roman" w:hAnsi="Times New Roman" w:cs="Times New Roman"/>
          <w:sz w:val="28"/>
          <w:szCs w:val="28"/>
          <w:lang w:val="en-US" w:eastAsia="ru-RU"/>
        </w:rPr>
        <w:t xml:space="preserve"> A number of patients were excluded because of significant problems with peripheral </w:t>
      </w:r>
      <w:r w:rsidR="0040494B" w:rsidRPr="0040494B">
        <w:rPr>
          <w:rFonts w:ascii="Times New Roman" w:eastAsia="Times New Roman" w:hAnsi="Times New Roman" w:cs="Times New Roman"/>
          <w:sz w:val="28"/>
          <w:szCs w:val="28"/>
          <w:lang w:val="en-US" w:eastAsia="ru-RU"/>
        </w:rPr>
        <w:t>neuromuscular</w:t>
      </w:r>
      <w:r w:rsidR="0040494B">
        <w:rPr>
          <w:rFonts w:ascii="Times New Roman" w:eastAsia="Times New Roman" w:hAnsi="Times New Roman" w:cs="Times New Roman"/>
          <w:sz w:val="28"/>
          <w:szCs w:val="28"/>
          <w:lang w:val="en-US" w:eastAsia="ru-RU"/>
        </w:rPr>
        <w:t xml:space="preserve"> </w:t>
      </w:r>
      <w:r w:rsidR="00D64B2A">
        <w:rPr>
          <w:rFonts w:ascii="Times New Roman" w:eastAsia="Times New Roman" w:hAnsi="Times New Roman" w:cs="Times New Roman"/>
          <w:sz w:val="28"/>
          <w:szCs w:val="28"/>
          <w:lang w:val="en-US" w:eastAsia="ru-RU"/>
        </w:rPr>
        <w:t xml:space="preserve">apparatus found by </w:t>
      </w:r>
      <w:r w:rsidR="00D64B2A" w:rsidRPr="00D64B2A">
        <w:rPr>
          <w:rFonts w:ascii="Times New Roman" w:eastAsia="Times New Roman" w:hAnsi="Times New Roman" w:cs="Times New Roman"/>
          <w:sz w:val="28"/>
          <w:szCs w:val="28"/>
          <w:lang w:val="en-US" w:eastAsia="ru-RU"/>
        </w:rPr>
        <w:t>ENMG</w:t>
      </w:r>
      <w:r w:rsidR="00D64B2A">
        <w:rPr>
          <w:rFonts w:ascii="Times New Roman" w:eastAsia="Times New Roman" w:hAnsi="Times New Roman" w:cs="Times New Roman"/>
          <w:sz w:val="28"/>
          <w:szCs w:val="28"/>
          <w:lang w:val="en-US" w:eastAsia="ru-RU"/>
        </w:rPr>
        <w:t xml:space="preserve">. Functioning of peripheral nerves and their roots was studied in this purpose using the method of </w:t>
      </w:r>
      <w:r w:rsidR="00D64B2A" w:rsidRPr="00D64B2A">
        <w:rPr>
          <w:rFonts w:ascii="Times New Roman" w:eastAsia="Times New Roman" w:hAnsi="Times New Roman" w:cs="Times New Roman"/>
          <w:sz w:val="28"/>
          <w:szCs w:val="28"/>
          <w:lang w:val="en-US" w:eastAsia="ru-RU"/>
        </w:rPr>
        <w:t>stimulation electroneuromyography</w:t>
      </w:r>
      <w:r w:rsidR="00D64B2A">
        <w:rPr>
          <w:rFonts w:ascii="Times New Roman" w:eastAsia="Times New Roman" w:hAnsi="Times New Roman" w:cs="Times New Roman"/>
          <w:sz w:val="28"/>
          <w:szCs w:val="28"/>
          <w:lang w:val="en-US" w:eastAsia="ru-RU"/>
        </w:rPr>
        <w:t xml:space="preserve">. </w:t>
      </w:r>
      <w:r w:rsidR="00D64B2A" w:rsidRPr="00D64B2A">
        <w:rPr>
          <w:rFonts w:ascii="Times New Roman" w:eastAsia="Times New Roman" w:hAnsi="Times New Roman" w:cs="Times New Roman"/>
          <w:sz w:val="28"/>
          <w:szCs w:val="28"/>
          <w:lang w:val="en-US" w:eastAsia="ru-RU"/>
        </w:rPr>
        <w:t>MUAP</w:t>
      </w:r>
      <w:r w:rsidR="00D64B2A">
        <w:rPr>
          <w:rFonts w:ascii="Times New Roman" w:eastAsia="Times New Roman" w:hAnsi="Times New Roman" w:cs="Times New Roman"/>
          <w:sz w:val="28"/>
          <w:szCs w:val="28"/>
          <w:lang w:val="en-US" w:eastAsia="ru-RU"/>
        </w:rPr>
        <w:t xml:space="preserve"> </w:t>
      </w:r>
      <w:r w:rsidR="005658C8">
        <w:rPr>
          <w:rFonts w:ascii="Times New Roman" w:eastAsia="Times New Roman" w:hAnsi="Times New Roman" w:cs="Times New Roman"/>
          <w:sz w:val="28"/>
          <w:szCs w:val="28"/>
          <w:lang w:val="en-US" w:eastAsia="ru-RU"/>
        </w:rPr>
        <w:t xml:space="preserve">indicators of relevant </w:t>
      </w:r>
      <w:r w:rsidR="0073296E">
        <w:rPr>
          <w:rFonts w:ascii="Times New Roman" w:eastAsia="Times New Roman" w:hAnsi="Times New Roman" w:cs="Times New Roman"/>
          <w:sz w:val="28"/>
          <w:szCs w:val="28"/>
          <w:lang w:val="en-US" w:eastAsia="ru-RU"/>
        </w:rPr>
        <w:t xml:space="preserve">muscles were studied, as well. A patient with such a pathology found by </w:t>
      </w:r>
      <w:r w:rsidR="0073296E" w:rsidRPr="00D64B2A">
        <w:rPr>
          <w:rFonts w:ascii="Times New Roman" w:eastAsia="Times New Roman" w:hAnsi="Times New Roman" w:cs="Times New Roman"/>
          <w:sz w:val="28"/>
          <w:szCs w:val="28"/>
          <w:lang w:val="en-US" w:eastAsia="ru-RU"/>
        </w:rPr>
        <w:t>ENMG</w:t>
      </w:r>
      <w:r w:rsidR="0073296E">
        <w:rPr>
          <w:rFonts w:ascii="Times New Roman" w:eastAsia="Times New Roman" w:hAnsi="Times New Roman" w:cs="Times New Roman"/>
          <w:sz w:val="28"/>
          <w:szCs w:val="28"/>
          <w:lang w:val="en-US" w:eastAsia="ru-RU"/>
        </w:rPr>
        <w:t xml:space="preserve"> would excluded from the common list of the patients to be examined in that research. </w:t>
      </w:r>
      <w:r w:rsidR="006E1078">
        <w:rPr>
          <w:rFonts w:ascii="Times New Roman" w:eastAsia="Times New Roman" w:hAnsi="Times New Roman" w:cs="Times New Roman"/>
          <w:sz w:val="28"/>
          <w:szCs w:val="28"/>
          <w:lang w:val="en-US" w:eastAsia="ru-RU"/>
        </w:rPr>
        <w:t>The patients included into the research were also subject of visualization (MRT, CT, or</w:t>
      </w:r>
      <w:r w:rsidR="009A69E8">
        <w:rPr>
          <w:rFonts w:ascii="Times New Roman" w:eastAsia="Times New Roman" w:hAnsi="Times New Roman" w:cs="Times New Roman"/>
          <w:sz w:val="28"/>
          <w:szCs w:val="28"/>
          <w:lang w:val="en-US" w:eastAsia="ru-RU"/>
        </w:rPr>
        <w:t xml:space="preserve"> radiography of the </w:t>
      </w:r>
      <w:r w:rsidR="0006780C">
        <w:rPr>
          <w:rFonts w:ascii="Times New Roman" w:eastAsia="Times New Roman" w:hAnsi="Times New Roman" w:cs="Times New Roman"/>
          <w:sz w:val="28"/>
          <w:szCs w:val="28"/>
          <w:lang w:val="en-US" w:eastAsia="ru-RU"/>
        </w:rPr>
        <w:t xml:space="preserve">respecting anatomical location), </w:t>
      </w:r>
      <w:r w:rsidR="0006780C" w:rsidRPr="0006780C">
        <w:rPr>
          <w:rFonts w:ascii="Times New Roman" w:eastAsia="Times New Roman" w:hAnsi="Times New Roman" w:cs="Times New Roman"/>
          <w:sz w:val="28"/>
          <w:szCs w:val="28"/>
          <w:lang w:val="en-US" w:eastAsia="ru-RU"/>
        </w:rPr>
        <w:t>CBC</w:t>
      </w:r>
      <w:r w:rsidR="0006780C">
        <w:rPr>
          <w:rFonts w:ascii="Times New Roman" w:eastAsia="Times New Roman" w:hAnsi="Times New Roman" w:cs="Times New Roman"/>
          <w:sz w:val="28"/>
          <w:szCs w:val="28"/>
          <w:lang w:val="en-US" w:eastAsia="ru-RU"/>
        </w:rPr>
        <w:t>, UA, standard set of biochemical blood indexes.</w:t>
      </w:r>
    </w:p>
    <w:p w:rsidR="005E4A1C" w:rsidRPr="007B463A" w:rsidRDefault="005E4A1C" w:rsidP="002F580C">
      <w:pPr>
        <w:widowControl w:val="0"/>
        <w:autoSpaceDE w:val="0"/>
        <w:autoSpaceDN w:val="0"/>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program of </w:t>
      </w:r>
      <w:r>
        <w:rPr>
          <w:rFonts w:ascii="Times New Roman" w:eastAsia="Calibri" w:hAnsi="Times New Roman" w:cs="Times New Roman"/>
          <w:sz w:val="28"/>
          <w:szCs w:val="28"/>
          <w:lang w:val="en-US"/>
        </w:rPr>
        <w:t>electroneuromyographic</w:t>
      </w:r>
      <w:r w:rsidRPr="00305978">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research included estimation of bioelectrical activity from musculocutaneous </w:t>
      </w:r>
      <w:r w:rsidR="00C1309A">
        <w:rPr>
          <w:rFonts w:ascii="Times New Roman" w:eastAsia="Calibri" w:hAnsi="Times New Roman" w:cs="Times New Roman"/>
          <w:sz w:val="28"/>
          <w:szCs w:val="28"/>
          <w:lang w:val="en-US"/>
        </w:rPr>
        <w:t xml:space="preserve">receptor </w:t>
      </w:r>
      <w:r w:rsidR="00444332">
        <w:rPr>
          <w:rFonts w:ascii="Times New Roman" w:eastAsia="Calibri" w:hAnsi="Times New Roman" w:cs="Times New Roman"/>
          <w:sz w:val="28"/>
          <w:szCs w:val="28"/>
          <w:lang w:val="en-US"/>
        </w:rPr>
        <w:t xml:space="preserve">field. The activity research was </w:t>
      </w:r>
      <w:r w:rsidR="00444332">
        <w:rPr>
          <w:rFonts w:ascii="Times New Roman" w:eastAsia="Calibri" w:hAnsi="Times New Roman" w:cs="Times New Roman"/>
          <w:sz w:val="28"/>
          <w:szCs w:val="28"/>
          <w:lang w:val="en-US"/>
        </w:rPr>
        <w:lastRenderedPageBreak/>
        <w:t>conducted from musculocutaneous recept</w:t>
      </w:r>
      <w:r w:rsidR="00C1309A">
        <w:rPr>
          <w:rFonts w:ascii="Times New Roman" w:eastAsia="Calibri" w:hAnsi="Times New Roman" w:cs="Times New Roman"/>
          <w:sz w:val="28"/>
          <w:szCs w:val="28"/>
          <w:lang w:val="en-US"/>
        </w:rPr>
        <w:t>or</w:t>
      </w:r>
      <w:r w:rsidR="00444332">
        <w:rPr>
          <w:rFonts w:ascii="Times New Roman" w:eastAsia="Calibri" w:hAnsi="Times New Roman" w:cs="Times New Roman"/>
          <w:sz w:val="28"/>
          <w:szCs w:val="28"/>
          <w:lang w:val="en-US"/>
        </w:rPr>
        <w:t xml:space="preserve"> fields. Research of normal </w:t>
      </w:r>
      <w:r w:rsidR="00C1309A">
        <w:rPr>
          <w:rFonts w:ascii="Times New Roman" w:eastAsia="Calibri" w:hAnsi="Times New Roman" w:cs="Times New Roman"/>
          <w:sz w:val="28"/>
          <w:szCs w:val="28"/>
          <w:lang w:val="en-US"/>
        </w:rPr>
        <w:t xml:space="preserve">receptor </w:t>
      </w:r>
      <w:r w:rsidR="00444332">
        <w:rPr>
          <w:rFonts w:ascii="Times New Roman" w:eastAsia="Calibri" w:hAnsi="Times New Roman" w:cs="Times New Roman"/>
          <w:sz w:val="28"/>
          <w:szCs w:val="28"/>
          <w:lang w:val="en-US"/>
        </w:rPr>
        <w:t xml:space="preserve">fields </w:t>
      </w:r>
      <w:r w:rsidR="00C1309A">
        <w:rPr>
          <w:rFonts w:ascii="Times New Roman" w:eastAsia="Calibri" w:hAnsi="Times New Roman" w:cs="Times New Roman"/>
          <w:sz w:val="28"/>
          <w:szCs w:val="28"/>
          <w:lang w:val="en-US"/>
        </w:rPr>
        <w:t>indicated</w:t>
      </w:r>
      <w:r w:rsidR="00444332">
        <w:rPr>
          <w:rFonts w:ascii="Times New Roman" w:eastAsia="Calibri" w:hAnsi="Times New Roman" w:cs="Times New Roman"/>
          <w:sz w:val="28"/>
          <w:szCs w:val="28"/>
          <w:lang w:val="en-US"/>
        </w:rPr>
        <w:t xml:space="preserve"> different levels of bioelectrical activity (24 to 140 </w:t>
      </w:r>
      <w:r w:rsidR="00444332" w:rsidRPr="00444332">
        <w:rPr>
          <w:rFonts w:ascii="Times New Roman" w:eastAsia="Calibri" w:hAnsi="Times New Roman" w:cs="Times New Roman"/>
          <w:sz w:val="28"/>
          <w:szCs w:val="28"/>
          <w:lang w:val="en-US"/>
        </w:rPr>
        <w:t>µV</w:t>
      </w:r>
      <w:r w:rsidR="00444332">
        <w:rPr>
          <w:rFonts w:ascii="Times New Roman" w:eastAsia="Calibri" w:hAnsi="Times New Roman" w:cs="Times New Roman"/>
          <w:sz w:val="28"/>
          <w:szCs w:val="28"/>
          <w:lang w:val="en-US"/>
        </w:rPr>
        <w:t>). The values were registered with calculation of average amplitudes</w:t>
      </w:r>
      <w:r w:rsidR="006A6A1C">
        <w:rPr>
          <w:rFonts w:ascii="Times New Roman" w:eastAsia="Calibri" w:hAnsi="Times New Roman" w:cs="Times New Roman"/>
          <w:sz w:val="28"/>
          <w:szCs w:val="28"/>
          <w:lang w:val="en-US"/>
        </w:rPr>
        <w:t xml:space="preserve"> of bioelectrical activity (</w:t>
      </w:r>
      <w:r w:rsidR="006A6A1C" w:rsidRPr="00444332">
        <w:rPr>
          <w:rFonts w:ascii="Times New Roman" w:eastAsia="Calibri" w:hAnsi="Times New Roman" w:cs="Times New Roman"/>
          <w:sz w:val="28"/>
          <w:szCs w:val="28"/>
          <w:lang w:val="en-US"/>
        </w:rPr>
        <w:t>µV</w:t>
      </w:r>
      <w:r w:rsidR="006A6A1C">
        <w:rPr>
          <w:rFonts w:ascii="Times New Roman" w:eastAsia="Calibri" w:hAnsi="Times New Roman" w:cs="Times New Roman"/>
          <w:sz w:val="28"/>
          <w:szCs w:val="28"/>
          <w:lang w:val="en-US"/>
        </w:rPr>
        <w:t xml:space="preserve">). </w:t>
      </w:r>
      <w:r w:rsidR="00572741">
        <w:rPr>
          <w:rFonts w:ascii="Times New Roman" w:eastAsia="Calibri" w:hAnsi="Times New Roman" w:cs="Times New Roman"/>
          <w:sz w:val="28"/>
          <w:szCs w:val="28"/>
          <w:lang w:val="en-US"/>
        </w:rPr>
        <w:t>Therefore</w:t>
      </w:r>
      <w:r w:rsidR="006A6A1C">
        <w:rPr>
          <w:rFonts w:ascii="Times New Roman" w:eastAsia="Calibri" w:hAnsi="Times New Roman" w:cs="Times New Roman"/>
          <w:sz w:val="28"/>
          <w:szCs w:val="28"/>
          <w:lang w:val="en-US"/>
        </w:rPr>
        <w:t xml:space="preserve">, bioelectrical activity of normal </w:t>
      </w:r>
      <w:r w:rsidR="00C1309A">
        <w:rPr>
          <w:rFonts w:ascii="Times New Roman" w:eastAsia="Calibri" w:hAnsi="Times New Roman" w:cs="Times New Roman"/>
          <w:sz w:val="28"/>
          <w:szCs w:val="28"/>
          <w:lang w:val="en-US"/>
        </w:rPr>
        <w:t>receptor</w:t>
      </w:r>
      <w:r w:rsidR="006A6A1C">
        <w:rPr>
          <w:rFonts w:ascii="Times New Roman" w:eastAsia="Calibri" w:hAnsi="Times New Roman" w:cs="Times New Roman"/>
          <w:sz w:val="28"/>
          <w:szCs w:val="28"/>
          <w:lang w:val="en-US"/>
        </w:rPr>
        <w:t xml:space="preserve"> fields was different on different parts even within one </w:t>
      </w:r>
      <w:r w:rsidR="006A6A1C">
        <w:rPr>
          <w:rFonts w:ascii="Times New Roman" w:eastAsia="Times New Roman" w:hAnsi="Times New Roman" w:cs="Times New Roman"/>
          <w:sz w:val="28"/>
          <w:szCs w:val="28"/>
          <w:lang w:val="en-US" w:eastAsia="ru-RU"/>
        </w:rPr>
        <w:t>anatomical location</w:t>
      </w:r>
      <w:r w:rsidR="00E244DF">
        <w:rPr>
          <w:rFonts w:ascii="Times New Roman" w:eastAsia="Times New Roman" w:hAnsi="Times New Roman" w:cs="Times New Roman"/>
          <w:sz w:val="28"/>
          <w:szCs w:val="28"/>
          <w:lang w:val="en-US" w:eastAsia="ru-RU"/>
        </w:rPr>
        <w:t xml:space="preserve">: so, </w:t>
      </w:r>
      <w:r w:rsidR="00E244DF">
        <w:rPr>
          <w:rFonts w:ascii="Times New Roman" w:eastAsia="Calibri" w:hAnsi="Times New Roman" w:cs="Times New Roman"/>
          <w:sz w:val="28"/>
          <w:szCs w:val="28"/>
          <w:lang w:val="en-US"/>
        </w:rPr>
        <w:t>bioelectrical activity</w:t>
      </w:r>
      <w:r w:rsidR="00E244DF" w:rsidRPr="00E244DF">
        <w:rPr>
          <w:rFonts w:ascii="Times New Roman" w:eastAsia="Times New Roman" w:hAnsi="Times New Roman" w:cs="Times New Roman"/>
          <w:sz w:val="28"/>
          <w:szCs w:val="28"/>
          <w:lang w:val="en-US" w:eastAsia="ru-RU"/>
        </w:rPr>
        <w:t xml:space="preserve"> </w:t>
      </w:r>
      <w:r w:rsidR="00E244DF">
        <w:rPr>
          <w:rFonts w:ascii="Times New Roman" w:eastAsia="Times New Roman" w:hAnsi="Times New Roman" w:cs="Times New Roman"/>
          <w:sz w:val="28"/>
          <w:szCs w:val="28"/>
          <w:lang w:val="en-US" w:eastAsia="ru-RU"/>
        </w:rPr>
        <w:t>on</w:t>
      </w:r>
      <w:r w:rsidR="00E244DF" w:rsidRPr="00E244DF">
        <w:rPr>
          <w:rFonts w:ascii="Times New Roman" w:eastAsia="Times New Roman" w:hAnsi="Times New Roman" w:cs="Times New Roman"/>
          <w:sz w:val="28"/>
          <w:szCs w:val="28"/>
          <w:lang w:val="en-US" w:eastAsia="ru-RU"/>
        </w:rPr>
        <w:t xml:space="preserve"> </w:t>
      </w:r>
      <w:r w:rsidR="00E244DF">
        <w:rPr>
          <w:rFonts w:ascii="Times New Roman" w:eastAsia="Times New Roman" w:hAnsi="Times New Roman" w:cs="Times New Roman"/>
          <w:sz w:val="28"/>
          <w:szCs w:val="28"/>
          <w:lang w:val="en-US" w:eastAsia="ru-RU"/>
        </w:rPr>
        <w:t>the</w:t>
      </w:r>
      <w:r w:rsidR="00E244DF" w:rsidRPr="00E244DF">
        <w:rPr>
          <w:rFonts w:ascii="Times New Roman" w:eastAsia="Times New Roman" w:hAnsi="Times New Roman" w:cs="Times New Roman"/>
          <w:sz w:val="28"/>
          <w:szCs w:val="28"/>
          <w:lang w:val="en-US" w:eastAsia="ru-RU"/>
        </w:rPr>
        <w:t xml:space="preserve"> </w:t>
      </w:r>
      <w:r w:rsidR="00E244DF">
        <w:rPr>
          <w:rFonts w:ascii="Times New Roman" w:eastAsia="Times New Roman" w:hAnsi="Times New Roman" w:cs="Times New Roman"/>
          <w:sz w:val="28"/>
          <w:szCs w:val="28"/>
          <w:lang w:val="en-US" w:eastAsia="ru-RU"/>
        </w:rPr>
        <w:t>face</w:t>
      </w:r>
      <w:r w:rsidR="00E244DF" w:rsidRPr="00E244DF">
        <w:rPr>
          <w:rFonts w:ascii="Times New Roman" w:eastAsia="Times New Roman" w:hAnsi="Times New Roman" w:cs="Times New Roman"/>
          <w:sz w:val="28"/>
          <w:szCs w:val="28"/>
          <w:lang w:val="en-US" w:eastAsia="ru-RU"/>
        </w:rPr>
        <w:t xml:space="preserve"> </w:t>
      </w:r>
      <w:r w:rsidR="00E244DF">
        <w:rPr>
          <w:rFonts w:ascii="Times New Roman" w:eastAsia="Times New Roman" w:hAnsi="Times New Roman" w:cs="Times New Roman"/>
          <w:sz w:val="28"/>
          <w:szCs w:val="28"/>
          <w:lang w:val="en-US" w:eastAsia="ru-RU"/>
        </w:rPr>
        <w:t xml:space="preserve">was, by an average, higher than that on feet skin. In the same time, </w:t>
      </w:r>
      <w:r w:rsidR="00E244DF">
        <w:rPr>
          <w:rFonts w:ascii="Times New Roman" w:eastAsia="Calibri" w:hAnsi="Times New Roman" w:cs="Times New Roman"/>
          <w:sz w:val="28"/>
          <w:szCs w:val="28"/>
          <w:lang w:val="en-US"/>
        </w:rPr>
        <w:t xml:space="preserve">even within one </w:t>
      </w:r>
      <w:r w:rsidR="00E244DF">
        <w:rPr>
          <w:rFonts w:ascii="Times New Roman" w:eastAsia="Times New Roman" w:hAnsi="Times New Roman" w:cs="Times New Roman"/>
          <w:sz w:val="28"/>
          <w:szCs w:val="28"/>
          <w:lang w:val="en-US" w:eastAsia="ru-RU"/>
        </w:rPr>
        <w:t>anatomical location (e.g. on a palm) the wide range of parameters was found.</w:t>
      </w:r>
      <w:r w:rsidR="00572741">
        <w:rPr>
          <w:rFonts w:ascii="Times New Roman" w:eastAsia="Times New Roman" w:hAnsi="Times New Roman" w:cs="Times New Roman"/>
          <w:sz w:val="28"/>
          <w:szCs w:val="28"/>
          <w:lang w:val="en-US" w:eastAsia="ru-RU"/>
        </w:rPr>
        <w:t xml:space="preserve"> It may be assumed that </w:t>
      </w:r>
      <w:r w:rsidR="007B463A">
        <w:rPr>
          <w:rFonts w:ascii="Times New Roman" w:eastAsia="Times New Roman" w:hAnsi="Times New Roman" w:cs="Times New Roman"/>
          <w:sz w:val="28"/>
          <w:szCs w:val="28"/>
          <w:lang w:val="en-US" w:eastAsia="ru-RU"/>
        </w:rPr>
        <w:t xml:space="preserve">there is a correlation between </w:t>
      </w:r>
      <w:r w:rsidR="00C1309A">
        <w:rPr>
          <w:rFonts w:ascii="Times New Roman" w:eastAsia="Times New Roman" w:hAnsi="Times New Roman" w:cs="Times New Roman"/>
          <w:sz w:val="28"/>
          <w:szCs w:val="28"/>
          <w:lang w:val="en-US" w:eastAsia="ru-RU"/>
        </w:rPr>
        <w:t>receptor</w:t>
      </w:r>
      <w:r w:rsidR="007B463A">
        <w:rPr>
          <w:rFonts w:ascii="Times New Roman" w:eastAsia="Times New Roman" w:hAnsi="Times New Roman" w:cs="Times New Roman"/>
          <w:sz w:val="28"/>
          <w:szCs w:val="28"/>
          <w:lang w:val="en-US" w:eastAsia="ru-RU"/>
        </w:rPr>
        <w:t xml:space="preserve"> units’ density and </w:t>
      </w:r>
      <w:r w:rsidR="007B463A">
        <w:rPr>
          <w:rFonts w:ascii="Times New Roman" w:eastAsia="Calibri" w:hAnsi="Times New Roman" w:cs="Times New Roman"/>
          <w:sz w:val="28"/>
          <w:szCs w:val="28"/>
          <w:lang w:val="en-US"/>
        </w:rPr>
        <w:t xml:space="preserve">bioelectrical activity. Further research regarding this matter </w:t>
      </w:r>
      <w:r w:rsidR="00992AED">
        <w:rPr>
          <w:rFonts w:ascii="Times New Roman" w:eastAsia="Calibri" w:hAnsi="Times New Roman" w:cs="Times New Roman"/>
          <w:sz w:val="28"/>
          <w:szCs w:val="28"/>
          <w:lang w:val="en-US"/>
        </w:rPr>
        <w:t>is required for study of bioelectrical activity norms on various areas of patient’s body.</w:t>
      </w:r>
      <w:r w:rsidR="002F580C">
        <w:rPr>
          <w:rFonts w:ascii="Times New Roman" w:eastAsia="Calibri" w:hAnsi="Times New Roman" w:cs="Times New Roman"/>
          <w:sz w:val="28"/>
          <w:szCs w:val="28"/>
          <w:lang w:val="en-US"/>
        </w:rPr>
        <w:t xml:space="preserve"> Bioelectrical activity from normal</w:t>
      </w:r>
      <w:r w:rsidR="002F580C" w:rsidRPr="002F580C">
        <w:rPr>
          <w:rFonts w:ascii="Times New Roman" w:eastAsia="Calibri" w:hAnsi="Times New Roman" w:cs="Times New Roman"/>
          <w:sz w:val="28"/>
          <w:szCs w:val="28"/>
          <w:lang w:val="en-US"/>
        </w:rPr>
        <w:t xml:space="preserve"> </w:t>
      </w:r>
      <w:r w:rsidR="00C1309A">
        <w:rPr>
          <w:rFonts w:ascii="Times New Roman" w:eastAsia="Calibri" w:hAnsi="Times New Roman" w:cs="Times New Roman"/>
          <w:sz w:val="28"/>
          <w:szCs w:val="28"/>
          <w:lang w:val="en-US"/>
        </w:rPr>
        <w:t>receptor</w:t>
      </w:r>
      <w:r w:rsidR="002F580C">
        <w:rPr>
          <w:rFonts w:ascii="Times New Roman" w:eastAsia="Calibri" w:hAnsi="Times New Roman" w:cs="Times New Roman"/>
          <w:sz w:val="28"/>
          <w:szCs w:val="28"/>
          <w:lang w:val="en-US"/>
        </w:rPr>
        <w:t xml:space="preserve"> fields did not change when stimulating areas of primary and secondary dysfunction.</w:t>
      </w:r>
    </w:p>
    <w:p w:rsidR="007844B6" w:rsidRPr="00214338" w:rsidRDefault="007844B6" w:rsidP="00E45F00">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p>
    <w:p w:rsidR="002F580C" w:rsidRPr="002F580C" w:rsidRDefault="002F580C" w:rsidP="005D1095">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Pr>
          <w:rFonts w:ascii="Times New Roman" w:eastAsia="Calibri" w:hAnsi="Times New Roman" w:cs="Times New Roman"/>
          <w:sz w:val="28"/>
          <w:szCs w:val="28"/>
          <w:lang w:val="en-US"/>
        </w:rPr>
        <w:t xml:space="preserve">Bioelectrical activity in areas of primary and secondary general dysfunction </w:t>
      </w:r>
      <w:r w:rsidR="00ED234D">
        <w:rPr>
          <w:rFonts w:ascii="Times New Roman" w:eastAsia="Calibri" w:hAnsi="Times New Roman" w:cs="Times New Roman"/>
          <w:sz w:val="28"/>
          <w:szCs w:val="28"/>
          <w:lang w:val="en-US"/>
        </w:rPr>
        <w:t xml:space="preserve">were studied, as well. </w:t>
      </w:r>
      <w:r w:rsidR="008D0776">
        <w:rPr>
          <w:rFonts w:ascii="Times New Roman" w:eastAsia="Calibri" w:hAnsi="Times New Roman" w:cs="Times New Roman"/>
          <w:sz w:val="28"/>
          <w:szCs w:val="28"/>
          <w:lang w:val="en-US"/>
        </w:rPr>
        <w:t xml:space="preserve">Needle derivation with calculation of average amplitude of bioelectrical activity in </w:t>
      </w:r>
      <w:r w:rsidR="008D0776" w:rsidRPr="00444332">
        <w:rPr>
          <w:rFonts w:ascii="Times New Roman" w:eastAsia="Calibri" w:hAnsi="Times New Roman" w:cs="Times New Roman"/>
          <w:sz w:val="28"/>
          <w:szCs w:val="28"/>
          <w:lang w:val="en-US"/>
        </w:rPr>
        <w:t>µV</w:t>
      </w:r>
      <w:r w:rsidR="008D0776">
        <w:rPr>
          <w:rFonts w:ascii="Times New Roman" w:eastAsia="Calibri" w:hAnsi="Times New Roman" w:cs="Times New Roman"/>
          <w:sz w:val="28"/>
          <w:szCs w:val="28"/>
          <w:lang w:val="en-US"/>
        </w:rPr>
        <w:t xml:space="preserve"> was used for that. </w:t>
      </w:r>
      <w:r w:rsidR="00C1309A">
        <w:rPr>
          <w:rFonts w:ascii="Times New Roman" w:eastAsia="Calibri" w:hAnsi="Times New Roman" w:cs="Times New Roman"/>
          <w:sz w:val="28"/>
          <w:szCs w:val="28"/>
          <w:lang w:val="en-US"/>
        </w:rPr>
        <w:t>Receptor</w:t>
      </w:r>
      <w:r w:rsidR="008D0776">
        <w:rPr>
          <w:rFonts w:ascii="Times New Roman" w:eastAsia="Calibri" w:hAnsi="Times New Roman" w:cs="Times New Roman"/>
          <w:sz w:val="28"/>
          <w:szCs w:val="28"/>
          <w:lang w:val="en-US"/>
        </w:rPr>
        <w:t xml:space="preserve"> fields were chosen in accordance with </w:t>
      </w:r>
      <w:r w:rsidR="008D0776">
        <w:rPr>
          <w:rFonts w:ascii="Times New Roman" w:eastAsia="Times New Roman" w:hAnsi="Times New Roman" w:cs="Times New Roman"/>
          <w:sz w:val="28"/>
          <w:szCs w:val="28"/>
          <w:lang w:val="en-US" w:eastAsia="ru-RU"/>
        </w:rPr>
        <w:t>P</w:t>
      </w:r>
      <w:r w:rsidR="008D0776" w:rsidRPr="008D0776">
        <w:rPr>
          <w:rFonts w:ascii="Times New Roman" w:eastAsia="Times New Roman" w:hAnsi="Times New Roman" w:cs="Times New Roman"/>
          <w:sz w:val="28"/>
          <w:szCs w:val="28"/>
          <w:lang w:val="en-US" w:eastAsia="ru-RU"/>
        </w:rPr>
        <w:t>-</w:t>
      </w:r>
      <w:r w:rsidR="008D0776">
        <w:rPr>
          <w:rFonts w:ascii="Times New Roman" w:eastAsia="Times New Roman" w:hAnsi="Times New Roman" w:cs="Times New Roman"/>
          <w:sz w:val="28"/>
          <w:szCs w:val="28"/>
          <w:lang w:val="en-US" w:eastAsia="ru-RU"/>
        </w:rPr>
        <w:t>DTR method.</w:t>
      </w:r>
      <w:r w:rsidR="009B33FE">
        <w:rPr>
          <w:rFonts w:ascii="Times New Roman" w:eastAsia="Times New Roman" w:hAnsi="Times New Roman" w:cs="Times New Roman"/>
          <w:sz w:val="28"/>
          <w:szCs w:val="28"/>
          <w:lang w:val="en-US" w:eastAsia="ru-RU"/>
        </w:rPr>
        <w:t xml:space="preserve"> Changes in activity of </w:t>
      </w:r>
      <w:r w:rsidR="005D1095">
        <w:rPr>
          <w:rFonts w:ascii="Times New Roman" w:eastAsia="Times New Roman" w:hAnsi="Times New Roman" w:cs="Times New Roman"/>
          <w:sz w:val="28"/>
          <w:szCs w:val="28"/>
          <w:lang w:val="en-US" w:eastAsia="ru-RU"/>
        </w:rPr>
        <w:t xml:space="preserve">dermal </w:t>
      </w:r>
      <w:r w:rsidR="00C1309A">
        <w:rPr>
          <w:rFonts w:ascii="Times New Roman" w:eastAsia="Times New Roman" w:hAnsi="Times New Roman" w:cs="Times New Roman"/>
          <w:sz w:val="28"/>
          <w:szCs w:val="28"/>
          <w:lang w:val="en-US" w:eastAsia="ru-RU"/>
        </w:rPr>
        <w:t>receptor</w:t>
      </w:r>
      <w:r w:rsidR="005D1095">
        <w:rPr>
          <w:rFonts w:ascii="Times New Roman" w:eastAsia="Times New Roman" w:hAnsi="Times New Roman" w:cs="Times New Roman"/>
          <w:sz w:val="28"/>
          <w:szCs w:val="28"/>
          <w:lang w:val="en-US" w:eastAsia="ru-RU"/>
        </w:rPr>
        <w:t xml:space="preserve"> apparatus </w:t>
      </w:r>
      <w:r w:rsidR="005D1095">
        <w:rPr>
          <w:rFonts w:ascii="Times New Roman" w:eastAsia="Calibri" w:hAnsi="Times New Roman" w:cs="Times New Roman"/>
          <w:sz w:val="28"/>
          <w:szCs w:val="28"/>
          <w:lang w:val="en-US"/>
        </w:rPr>
        <w:t>of primary and secondary general dysfunction</w:t>
      </w:r>
      <w:r w:rsidR="005D1095" w:rsidRPr="005D1095">
        <w:rPr>
          <w:rFonts w:ascii="Times New Roman" w:eastAsia="Calibri" w:hAnsi="Times New Roman" w:cs="Times New Roman"/>
          <w:sz w:val="28"/>
          <w:szCs w:val="28"/>
          <w:lang w:val="en-US"/>
        </w:rPr>
        <w:t xml:space="preserve"> </w:t>
      </w:r>
      <w:r w:rsidR="005D1095">
        <w:rPr>
          <w:rFonts w:ascii="Times New Roman" w:eastAsia="Calibri" w:hAnsi="Times New Roman" w:cs="Times New Roman"/>
          <w:sz w:val="28"/>
          <w:szCs w:val="28"/>
          <w:lang w:val="en-US"/>
        </w:rPr>
        <w:t>areas</w:t>
      </w:r>
      <w:r w:rsidR="004611E5">
        <w:rPr>
          <w:rFonts w:ascii="Times New Roman" w:eastAsia="Calibri" w:hAnsi="Times New Roman" w:cs="Times New Roman"/>
          <w:sz w:val="28"/>
          <w:szCs w:val="28"/>
          <w:lang w:val="en-US"/>
        </w:rPr>
        <w:t xml:space="preserve"> at rest were estimated in accordance with the protocol given:</w:t>
      </w:r>
    </w:p>
    <w:p w:rsidR="004611E5" w:rsidRDefault="004611E5" w:rsidP="00E45F0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Times New Roman" w:hAnsi="Times New Roman" w:cs="Times New Roman"/>
          <w:sz w:val="28"/>
          <w:szCs w:val="28"/>
          <w:lang w:val="en-US" w:eastAsia="ru-RU"/>
        </w:rPr>
        <w:t xml:space="preserve">- study of </w:t>
      </w:r>
      <w:r>
        <w:rPr>
          <w:rFonts w:ascii="Times New Roman" w:eastAsia="Calibri" w:hAnsi="Times New Roman" w:cs="Times New Roman"/>
          <w:sz w:val="28"/>
          <w:szCs w:val="28"/>
          <w:lang w:val="en-US"/>
        </w:rPr>
        <w:t xml:space="preserve">electrical activity of primary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no stimulation before the P</w:t>
      </w:r>
      <w:r w:rsidR="004A4419">
        <w:rPr>
          <w:rFonts w:ascii="Times New Roman" w:eastAsia="Calibri" w:hAnsi="Times New Roman" w:cs="Times New Roman"/>
          <w:sz w:val="28"/>
          <w:szCs w:val="28"/>
          <w:lang w:val="en-US"/>
        </w:rPr>
        <w:noBreakHyphen/>
      </w:r>
      <w:r>
        <w:rPr>
          <w:rFonts w:ascii="Times New Roman" w:eastAsia="Calibri" w:hAnsi="Times New Roman" w:cs="Times New Roman"/>
          <w:sz w:val="28"/>
          <w:szCs w:val="28"/>
          <w:lang w:val="en-US"/>
        </w:rPr>
        <w:t>DTR treatment;</w:t>
      </w:r>
    </w:p>
    <w:p w:rsidR="004611E5" w:rsidRDefault="004611E5" w:rsidP="004611E5">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primary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primary one with its own stimulus;</w:t>
      </w:r>
    </w:p>
    <w:p w:rsidR="004A4419" w:rsidRDefault="004A4419" w:rsidP="004A4419">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primary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secondary general one with its own stimulus;</w:t>
      </w:r>
    </w:p>
    <w:p w:rsidR="004A4419" w:rsidRDefault="004A4419" w:rsidP="00E45F0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primary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primary one with</w:t>
      </w:r>
      <w:r w:rsidR="00940005">
        <w:rPr>
          <w:rFonts w:ascii="Times New Roman" w:eastAsia="Calibri" w:hAnsi="Times New Roman" w:cs="Times New Roman"/>
          <w:sz w:val="28"/>
          <w:szCs w:val="28"/>
          <w:lang w:val="en-US"/>
        </w:rPr>
        <w:t xml:space="preserve"> a</w:t>
      </w:r>
      <w:r>
        <w:rPr>
          <w:rFonts w:ascii="Times New Roman" w:eastAsia="Calibri" w:hAnsi="Times New Roman" w:cs="Times New Roman"/>
          <w:sz w:val="28"/>
          <w:szCs w:val="28"/>
          <w:lang w:val="en-US"/>
        </w:rPr>
        <w:t xml:space="preserve"> </w:t>
      </w:r>
      <w:r w:rsidRPr="004A4419">
        <w:rPr>
          <w:rFonts w:ascii="Times New Roman" w:eastAsia="Calibri" w:hAnsi="Times New Roman" w:cs="Times New Roman"/>
          <w:sz w:val="28"/>
          <w:szCs w:val="28"/>
          <w:lang w:val="en-US"/>
        </w:rPr>
        <w:t>disincentive</w:t>
      </w:r>
      <w:r>
        <w:rPr>
          <w:rFonts w:ascii="Times New Roman" w:eastAsia="Calibri" w:hAnsi="Times New Roman" w:cs="Times New Roman"/>
          <w:sz w:val="28"/>
          <w:szCs w:val="28"/>
          <w:lang w:val="en-US"/>
        </w:rPr>
        <w:t>;</w:t>
      </w:r>
      <w:r w:rsidR="00D020CF">
        <w:rPr>
          <w:rFonts w:ascii="Times New Roman" w:eastAsia="Calibri" w:hAnsi="Times New Roman" w:cs="Times New Roman"/>
          <w:sz w:val="28"/>
          <w:szCs w:val="28"/>
          <w:lang w:val="en-US"/>
        </w:rPr>
        <w:t xml:space="preserve"> </w:t>
      </w:r>
    </w:p>
    <w:p w:rsidR="004A4419" w:rsidRPr="004A4419" w:rsidRDefault="00940005" w:rsidP="00940005">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primary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secondary general one with</w:t>
      </w:r>
      <w:r w:rsidRPr="0094000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a </w:t>
      </w:r>
      <w:r w:rsidRPr="004A4419">
        <w:rPr>
          <w:rFonts w:ascii="Times New Roman" w:eastAsia="Calibri" w:hAnsi="Times New Roman" w:cs="Times New Roman"/>
          <w:sz w:val="28"/>
          <w:szCs w:val="28"/>
          <w:lang w:val="en-US"/>
        </w:rPr>
        <w:t>disincentive</w:t>
      </w:r>
      <w:r>
        <w:rPr>
          <w:rFonts w:ascii="Times New Roman" w:eastAsia="Calibri" w:hAnsi="Times New Roman" w:cs="Times New Roman"/>
          <w:sz w:val="28"/>
          <w:szCs w:val="28"/>
          <w:lang w:val="en-US"/>
        </w:rPr>
        <w:t>;</w:t>
      </w:r>
    </w:p>
    <w:p w:rsidR="004A4419" w:rsidRDefault="00940005" w:rsidP="00940005">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primary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area not related to dysfunction;</w:t>
      </w:r>
    </w:p>
    <w:p w:rsidR="00940005" w:rsidRPr="004A4419" w:rsidRDefault="00940005" w:rsidP="00940005">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primary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after the P</w:t>
      </w:r>
      <w:r>
        <w:rPr>
          <w:rFonts w:ascii="Times New Roman" w:eastAsia="Calibri" w:hAnsi="Times New Roman" w:cs="Times New Roman"/>
          <w:sz w:val="28"/>
          <w:szCs w:val="28"/>
          <w:lang w:val="en-US"/>
        </w:rPr>
        <w:noBreakHyphen/>
        <w:t>DTR treatment;</w:t>
      </w:r>
    </w:p>
    <w:p w:rsidR="00F41010" w:rsidRDefault="00F41010" w:rsidP="00F4101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Times New Roman" w:hAnsi="Times New Roman" w:cs="Times New Roman"/>
          <w:sz w:val="28"/>
          <w:szCs w:val="28"/>
          <w:lang w:val="en-US" w:eastAsia="ru-RU"/>
        </w:rPr>
        <w:t xml:space="preserve">- study of </w:t>
      </w:r>
      <w:r>
        <w:rPr>
          <w:rFonts w:ascii="Times New Roman" w:eastAsia="Calibri" w:hAnsi="Times New Roman" w:cs="Times New Roman"/>
          <w:sz w:val="28"/>
          <w:szCs w:val="28"/>
          <w:lang w:val="en-US"/>
        </w:rPr>
        <w:t xml:space="preserve">electrical activity of secondary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no stimulation before the P</w:t>
      </w:r>
      <w:r>
        <w:rPr>
          <w:rFonts w:ascii="Times New Roman" w:eastAsia="Calibri" w:hAnsi="Times New Roman" w:cs="Times New Roman"/>
          <w:sz w:val="28"/>
          <w:szCs w:val="28"/>
          <w:lang w:val="en-US"/>
        </w:rPr>
        <w:noBreakHyphen/>
        <w:t>DTR treatment;</w:t>
      </w:r>
    </w:p>
    <w:p w:rsidR="00F41010" w:rsidRDefault="00F41010" w:rsidP="00F4101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secondary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primary one with its own stimulus;</w:t>
      </w:r>
    </w:p>
    <w:p w:rsidR="00F41010" w:rsidRDefault="00F41010" w:rsidP="00F4101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secondary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secondary general one with its own stimulus;</w:t>
      </w:r>
    </w:p>
    <w:p w:rsidR="00F41010" w:rsidRDefault="00F41010" w:rsidP="00F4101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secondary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primary one with a </w:t>
      </w:r>
      <w:r w:rsidRPr="004A4419">
        <w:rPr>
          <w:rFonts w:ascii="Times New Roman" w:eastAsia="Calibri" w:hAnsi="Times New Roman" w:cs="Times New Roman"/>
          <w:sz w:val="28"/>
          <w:szCs w:val="28"/>
          <w:lang w:val="en-US"/>
        </w:rPr>
        <w:t>disincentive</w:t>
      </w:r>
      <w:r>
        <w:rPr>
          <w:rFonts w:ascii="Times New Roman" w:eastAsia="Calibri" w:hAnsi="Times New Roman" w:cs="Times New Roman"/>
          <w:sz w:val="28"/>
          <w:szCs w:val="28"/>
          <w:lang w:val="en-US"/>
        </w:rPr>
        <w:t xml:space="preserve">; </w:t>
      </w:r>
    </w:p>
    <w:p w:rsidR="00F41010" w:rsidRPr="004A4419" w:rsidRDefault="00F41010" w:rsidP="00F4101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secondary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secondary general one with</w:t>
      </w:r>
      <w:r w:rsidRPr="0094000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a </w:t>
      </w:r>
      <w:r w:rsidRPr="004A4419">
        <w:rPr>
          <w:rFonts w:ascii="Times New Roman" w:eastAsia="Calibri" w:hAnsi="Times New Roman" w:cs="Times New Roman"/>
          <w:sz w:val="28"/>
          <w:szCs w:val="28"/>
          <w:lang w:val="en-US"/>
        </w:rPr>
        <w:t>disincentive</w:t>
      </w:r>
      <w:r>
        <w:rPr>
          <w:rFonts w:ascii="Times New Roman" w:eastAsia="Calibri" w:hAnsi="Times New Roman" w:cs="Times New Roman"/>
          <w:sz w:val="28"/>
          <w:szCs w:val="28"/>
          <w:lang w:val="en-US"/>
        </w:rPr>
        <w:t>;</w:t>
      </w:r>
    </w:p>
    <w:p w:rsidR="00F41010" w:rsidRDefault="00F41010" w:rsidP="00F41010">
      <w:pPr>
        <w:widowControl w:val="0"/>
        <w:autoSpaceDE w:val="0"/>
        <w:autoSpaceDN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secondary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with stimulation of the area not related to dysfunction;</w:t>
      </w:r>
    </w:p>
    <w:p w:rsidR="00F41010" w:rsidRPr="004A4419" w:rsidRDefault="00F41010" w:rsidP="00F41010">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study of </w:t>
      </w:r>
      <w:r>
        <w:rPr>
          <w:rFonts w:ascii="Times New Roman" w:eastAsia="Calibri" w:hAnsi="Times New Roman" w:cs="Times New Roman"/>
          <w:sz w:val="28"/>
          <w:szCs w:val="28"/>
          <w:lang w:val="en-US"/>
        </w:rPr>
        <w:t xml:space="preserve">electrical activity of secondary </w:t>
      </w:r>
      <w:r w:rsidR="00C1309A">
        <w:rPr>
          <w:rFonts w:ascii="Times New Roman" w:eastAsia="Calibri" w:hAnsi="Times New Roman" w:cs="Times New Roman"/>
          <w:sz w:val="28"/>
          <w:szCs w:val="28"/>
          <w:lang w:val="en-US"/>
        </w:rPr>
        <w:t>receptor</w:t>
      </w:r>
      <w:r>
        <w:rPr>
          <w:rFonts w:ascii="Times New Roman" w:eastAsia="Calibri" w:hAnsi="Times New Roman" w:cs="Times New Roman"/>
          <w:sz w:val="28"/>
          <w:szCs w:val="28"/>
          <w:lang w:val="en-US"/>
        </w:rPr>
        <w:t xml:space="preserve"> field after the P</w:t>
      </w:r>
      <w:r>
        <w:rPr>
          <w:rFonts w:ascii="Times New Roman" w:eastAsia="Calibri" w:hAnsi="Times New Roman" w:cs="Times New Roman"/>
          <w:sz w:val="28"/>
          <w:szCs w:val="28"/>
          <w:lang w:val="en-US"/>
        </w:rPr>
        <w:noBreakHyphen/>
        <w:t>DTR treatment;</w:t>
      </w:r>
    </w:p>
    <w:p w:rsidR="00F41010" w:rsidRDefault="00F41010">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ype="page"/>
      </w:r>
    </w:p>
    <w:p w:rsidR="0057348A" w:rsidRDefault="00F41010" w:rsidP="0051372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The data obtained</w:t>
      </w:r>
      <w:r w:rsidR="0057348A">
        <w:rPr>
          <w:rFonts w:ascii="Times New Roman" w:eastAsia="Times New Roman" w:hAnsi="Times New Roman" w:cs="Times New Roman"/>
          <w:sz w:val="28"/>
          <w:szCs w:val="28"/>
          <w:lang w:eastAsia="ru-RU"/>
        </w:rPr>
        <w:t xml:space="preserve">: </w:t>
      </w:r>
    </w:p>
    <w:tbl>
      <w:tblPr>
        <w:tblW w:w="11043" w:type="dxa"/>
        <w:tblInd w:w="-601" w:type="dxa"/>
        <w:tblLook w:val="04A0" w:firstRow="1" w:lastRow="0" w:firstColumn="1" w:lastColumn="0" w:noHBand="0" w:noVBand="1"/>
      </w:tblPr>
      <w:tblGrid>
        <w:gridCol w:w="737"/>
        <w:gridCol w:w="737"/>
        <w:gridCol w:w="737"/>
        <w:gridCol w:w="753"/>
        <w:gridCol w:w="753"/>
        <w:gridCol w:w="832"/>
        <w:gridCol w:w="799"/>
        <w:gridCol w:w="737"/>
        <w:gridCol w:w="737"/>
        <w:gridCol w:w="737"/>
        <w:gridCol w:w="944"/>
        <w:gridCol w:w="944"/>
        <w:gridCol w:w="832"/>
        <w:gridCol w:w="764"/>
      </w:tblGrid>
      <w:tr w:rsidR="009C0370" w:rsidRPr="00932BEF" w:rsidTr="002274DE">
        <w:trPr>
          <w:cantSplit/>
          <w:trHeight w:val="2219"/>
        </w:trPr>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9C0370" w:rsidRPr="00F41010"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Primary dysfunction with no stimulus</w:t>
            </w:r>
          </w:p>
        </w:tc>
        <w:tc>
          <w:tcPr>
            <w:tcW w:w="737"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CA69DB"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Primary</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dysfunction</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with stimulation of primary one</w:t>
            </w:r>
          </w:p>
        </w:tc>
        <w:tc>
          <w:tcPr>
            <w:tcW w:w="737"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CA69DB"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Primary</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dysfunction</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with stimulation of secondary one</w:t>
            </w:r>
          </w:p>
        </w:tc>
        <w:tc>
          <w:tcPr>
            <w:tcW w:w="753"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CA69DB"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Primary</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dysfunction</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with antistimulation of primary one</w:t>
            </w:r>
          </w:p>
        </w:tc>
        <w:tc>
          <w:tcPr>
            <w:tcW w:w="753"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CA69DB"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Primary</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dysfunction</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with antistimulation of secondary one</w:t>
            </w:r>
          </w:p>
        </w:tc>
        <w:tc>
          <w:tcPr>
            <w:tcW w:w="832"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9C0370"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Indifferent area</w:t>
            </w:r>
          </w:p>
        </w:tc>
        <w:tc>
          <w:tcPr>
            <w:tcW w:w="799"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6E71CB" w:rsidRDefault="009C0370" w:rsidP="009C0370">
            <w:pPr>
              <w:spacing w:after="0" w:line="240" w:lineRule="auto"/>
              <w:ind w:left="113" w:right="11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 xml:space="preserve">Primary dysfunction after treatment </w:t>
            </w:r>
          </w:p>
        </w:tc>
        <w:tc>
          <w:tcPr>
            <w:tcW w:w="737"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F41010"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Secondary dysfunction with no stimulus</w:t>
            </w:r>
          </w:p>
        </w:tc>
        <w:tc>
          <w:tcPr>
            <w:tcW w:w="737"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CA69DB"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Secondary dysfunction</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with stimulation of primary one</w:t>
            </w:r>
          </w:p>
        </w:tc>
        <w:tc>
          <w:tcPr>
            <w:tcW w:w="737"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CA69DB"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Secondary dysfunction</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with stimulation of secondary one</w:t>
            </w:r>
          </w:p>
        </w:tc>
        <w:tc>
          <w:tcPr>
            <w:tcW w:w="944"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CA69DB"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Secondary dysfunction</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with antistimulation of primary one</w:t>
            </w:r>
          </w:p>
        </w:tc>
        <w:tc>
          <w:tcPr>
            <w:tcW w:w="944"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CA69DB"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Secondary dysfunction</w:t>
            </w:r>
            <w:r w:rsidRPr="00CA69DB">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val="en-US" w:eastAsia="ru-RU"/>
              </w:rPr>
              <w:t>with antistimulation of secondary one</w:t>
            </w:r>
          </w:p>
        </w:tc>
        <w:tc>
          <w:tcPr>
            <w:tcW w:w="832"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9C0370" w:rsidRDefault="009C0370" w:rsidP="009C0370">
            <w:pPr>
              <w:spacing w:after="0" w:line="240" w:lineRule="auto"/>
              <w:ind w:left="113" w:right="113"/>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Indifferent area</w:t>
            </w:r>
          </w:p>
        </w:tc>
        <w:tc>
          <w:tcPr>
            <w:tcW w:w="764" w:type="dxa"/>
            <w:tcBorders>
              <w:top w:val="single" w:sz="4" w:space="0" w:color="auto"/>
              <w:left w:val="nil"/>
              <w:bottom w:val="single" w:sz="4" w:space="0" w:color="auto"/>
              <w:right w:val="single" w:sz="4" w:space="0" w:color="auto"/>
            </w:tcBorders>
            <w:shd w:val="clear" w:color="auto" w:fill="auto"/>
            <w:noWrap/>
            <w:textDirection w:val="btLr"/>
            <w:hideMark/>
          </w:tcPr>
          <w:p w:rsidR="009C0370" w:rsidRPr="006E71CB" w:rsidRDefault="009C0370" w:rsidP="009C0370">
            <w:pPr>
              <w:spacing w:after="0" w:line="240" w:lineRule="auto"/>
              <w:ind w:left="113" w:right="11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 xml:space="preserve">Secondary dysfunction after treatment </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31,7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83,6</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44,3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101,4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75,6</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105,9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33,9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39,7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105,2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116,2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44,6</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105,2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41,3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33,8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111,3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101,1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101,2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45,9</w:t>
            </w:r>
          </w:p>
        </w:tc>
      </w:tr>
      <w:tr w:rsidR="00CA69DB" w:rsidRPr="00932BEF" w:rsidTr="00C57488">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103,8</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126,4</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80,4</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110,4</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103,9</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50,4</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94,2</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53,6</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41,7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62,9</w:t>
            </w:r>
          </w:p>
        </w:tc>
      </w:tr>
      <w:tr w:rsidR="00CA69DB" w:rsidRPr="00932BEF" w:rsidTr="006E71CB">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lastRenderedPageBreak/>
              <w:t>89,3</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109,2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89,6</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56,4</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71,9</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84,5</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71,6</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w:t>
            </w:r>
          </w:p>
        </w:tc>
      </w:tr>
      <w:tr w:rsidR="00CA69DB" w:rsidRPr="00932BEF" w:rsidTr="002274DE">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87,5</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58,2</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50,1</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65,7</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63,9</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43,7</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48,9</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57,9</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62,1</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42,1</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48,6</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111,7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45,6</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68,6</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113,2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114,6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83,6</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121,1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107,9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118,2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106,1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106,5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117,2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44,8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109,2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118,7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117,5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121,1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137,5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101,5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132,5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121,2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111,7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121,1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132,4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121,8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121,7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44,7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111,7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45,2</w:t>
            </w:r>
          </w:p>
        </w:tc>
      </w:tr>
      <w:tr w:rsidR="00CA69DB" w:rsidRPr="00932BEF" w:rsidTr="00C57488">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85,3</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100,4</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74,9</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63,9</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85,5</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65,7</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73,5</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45,1</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58,1</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44,1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97,3</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106,3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52,6</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w:t>
            </w:r>
          </w:p>
        </w:tc>
      </w:tr>
      <w:tr w:rsidR="00CA69DB" w:rsidRPr="00932BEF" w:rsidTr="006E71CB">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lastRenderedPageBreak/>
              <w:t>96</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116,2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85,4</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96,9</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58,7</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64,8</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68,2</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46,8</w:t>
            </w:r>
          </w:p>
        </w:tc>
      </w:tr>
      <w:tr w:rsidR="00CA69DB" w:rsidRPr="00932BEF" w:rsidTr="002274DE">
        <w:trPr>
          <w:trHeight w:val="25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92,6</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113,1</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78,2</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70,8</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96,5</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93,2</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61,8</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51,3</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50,6</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118,2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117,2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105,2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51,33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39,6</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39,5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116,3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41,9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101,5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58,6</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110,1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100,3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90,1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41,3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44,1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117,2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50,6</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41,9</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99,3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61,3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53,9</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40,7</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41,2</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78,2</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57,8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41,5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82,2</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65,2</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42,2</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84,5</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60,7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66,8</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44,4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115,8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81,5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66,1</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47,1</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67,8</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43,8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107,4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64,9</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85,3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78,9</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42,1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62,7</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40,4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76,5</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71,2</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86,6</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63,7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50,9</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65,3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47,7</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72,3</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93,4</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77,1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47,8</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45,6</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103,5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48,9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69,8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52,3</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58,1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71,5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50,4</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92,6</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79,7</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70,6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94,5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92,9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67,9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79,6</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68,3</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112,7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80,1</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82,6</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88,9</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82,9</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89,1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51,8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82,4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50,5</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107,2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124,5</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95,4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80</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109,8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107,3</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59,7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73,8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78,1</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56,8</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74</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54,3</w:t>
            </w:r>
          </w:p>
        </w:tc>
      </w:tr>
      <w:tr w:rsidR="00CA69DB" w:rsidRPr="00932BEF" w:rsidTr="002274DE">
        <w:trPr>
          <w:trHeight w:val="25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106,3</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121,4</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93,8</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83,4</w:t>
            </w:r>
          </w:p>
        </w:tc>
        <w:tc>
          <w:tcPr>
            <w:tcW w:w="753"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108,7</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107,1</w:t>
            </w:r>
          </w:p>
        </w:tc>
        <w:tc>
          <w:tcPr>
            <w:tcW w:w="799"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54,8</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86,7</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91,2</w:t>
            </w:r>
          </w:p>
        </w:tc>
        <w:tc>
          <w:tcPr>
            <w:tcW w:w="737"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96,5</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52,1</w:t>
            </w:r>
          </w:p>
        </w:tc>
        <w:tc>
          <w:tcPr>
            <w:tcW w:w="94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55</w:t>
            </w:r>
          </w:p>
        </w:tc>
        <w:tc>
          <w:tcPr>
            <w:tcW w:w="832"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87,5</w:t>
            </w:r>
          </w:p>
        </w:tc>
        <w:tc>
          <w:tcPr>
            <w:tcW w:w="764" w:type="dxa"/>
            <w:tcBorders>
              <w:top w:val="nil"/>
              <w:left w:val="nil"/>
              <w:bottom w:val="single" w:sz="4" w:space="0" w:color="auto"/>
              <w:right w:val="single" w:sz="4" w:space="0" w:color="auto"/>
            </w:tcBorders>
            <w:shd w:val="clear" w:color="auto" w:fill="auto"/>
            <w:noWrap/>
            <w:vAlign w:val="center"/>
            <w:hideMark/>
          </w:tcPr>
          <w:p w:rsidR="00CA69DB" w:rsidRPr="00932BEF" w:rsidRDefault="00CA69DB" w:rsidP="00CA69DB">
            <w:pPr>
              <w:spacing w:after="0" w:line="240" w:lineRule="auto"/>
              <w:jc w:val="right"/>
              <w:rPr>
                <w:rFonts w:ascii="Arial" w:eastAsia="Times New Roman" w:hAnsi="Arial" w:cs="Arial"/>
                <w:sz w:val="20"/>
                <w:szCs w:val="20"/>
                <w:lang w:eastAsia="ru-RU"/>
              </w:rPr>
            </w:pPr>
            <w:r w:rsidRPr="00932BEF">
              <w:rPr>
                <w:rFonts w:ascii="Arial" w:eastAsia="Times New Roman" w:hAnsi="Arial" w:cs="Arial"/>
                <w:sz w:val="20"/>
                <w:szCs w:val="20"/>
                <w:lang w:eastAsia="ru-RU"/>
              </w:rPr>
              <w:t>49,8</w:t>
            </w:r>
          </w:p>
        </w:tc>
      </w:tr>
    </w:tbl>
    <w:p w:rsidR="002274DE" w:rsidRDefault="002274DE" w:rsidP="005137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7348A" w:rsidRDefault="0057348A" w:rsidP="005137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7348A" w:rsidRDefault="0057348A" w:rsidP="005137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348A">
        <w:rPr>
          <w:rFonts w:ascii="Times New Roman" w:eastAsia="Times New Roman" w:hAnsi="Times New Roman" w:cs="Times New Roman"/>
          <w:noProof/>
          <w:sz w:val="28"/>
          <w:szCs w:val="28"/>
          <w:lang w:eastAsia="ru-RU"/>
        </w:rPr>
        <w:lastRenderedPageBreak/>
        <w:drawing>
          <wp:inline distT="0" distB="0" distL="0" distR="0" wp14:anchorId="33C68868" wp14:editId="626BBA2C">
            <wp:extent cx="6477193" cy="3124863"/>
            <wp:effectExtent l="0" t="0" r="0" b="18415"/>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7348A" w:rsidRDefault="0057348A" w:rsidP="005137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D126A" w:rsidRPr="00081136" w:rsidRDefault="009C0370" w:rsidP="00692C4C">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obtained data of ENMG parameters were </w:t>
      </w:r>
      <w:r w:rsidR="00314911">
        <w:rPr>
          <w:rFonts w:ascii="Times New Roman" w:eastAsia="Times New Roman" w:hAnsi="Times New Roman" w:cs="Times New Roman"/>
          <w:sz w:val="28"/>
          <w:szCs w:val="28"/>
          <w:lang w:val="en-US" w:eastAsia="ru-RU"/>
        </w:rPr>
        <w:t>processed</w:t>
      </w:r>
      <w:r>
        <w:rPr>
          <w:rFonts w:ascii="Times New Roman" w:eastAsia="Times New Roman" w:hAnsi="Times New Roman" w:cs="Times New Roman"/>
          <w:sz w:val="28"/>
          <w:szCs w:val="28"/>
          <w:lang w:val="en-US" w:eastAsia="ru-RU"/>
        </w:rPr>
        <w:t xml:space="preserve"> statistically using G-sign-test</w:t>
      </w:r>
      <w:r w:rsidR="003E4DA6">
        <w:rPr>
          <w:rFonts w:ascii="Times New Roman" w:eastAsia="Times New Roman" w:hAnsi="Times New Roman" w:cs="Times New Roman"/>
          <w:sz w:val="28"/>
          <w:szCs w:val="28"/>
          <w:lang w:val="en-US" w:eastAsia="ru-RU"/>
        </w:rPr>
        <w:t xml:space="preserve">. </w:t>
      </w:r>
      <w:r w:rsidR="00314911">
        <w:rPr>
          <w:rFonts w:ascii="Times New Roman" w:eastAsia="Times New Roman" w:hAnsi="Times New Roman" w:cs="Times New Roman"/>
          <w:sz w:val="28"/>
          <w:szCs w:val="28"/>
          <w:lang w:val="en-US" w:eastAsia="ru-RU"/>
        </w:rPr>
        <w:t>A</w:t>
      </w:r>
      <w:r w:rsidR="00314911" w:rsidRPr="00314911">
        <w:rPr>
          <w:rFonts w:ascii="Times New Roman" w:eastAsia="Times New Roman" w:hAnsi="Times New Roman" w:cs="Times New Roman"/>
          <w:sz w:val="28"/>
          <w:szCs w:val="28"/>
          <w:lang w:val="en-US" w:eastAsia="ru-RU"/>
        </w:rPr>
        <w:t xml:space="preserve">ccidentality </w:t>
      </w:r>
      <w:r w:rsidR="003E4DA6">
        <w:rPr>
          <w:rFonts w:ascii="Times New Roman" w:eastAsia="Times New Roman" w:hAnsi="Times New Roman" w:cs="Times New Roman"/>
          <w:sz w:val="28"/>
          <w:szCs w:val="28"/>
          <w:lang w:val="en-US" w:eastAsia="ru-RU"/>
        </w:rPr>
        <w:t xml:space="preserve">of </w:t>
      </w:r>
      <w:r w:rsidR="00314911">
        <w:rPr>
          <w:rFonts w:ascii="Times New Roman" w:eastAsia="Times New Roman" w:hAnsi="Times New Roman" w:cs="Times New Roman"/>
          <w:sz w:val="28"/>
          <w:szCs w:val="28"/>
          <w:lang w:val="en-US" w:eastAsia="ru-RU"/>
        </w:rPr>
        <w:t xml:space="preserve">prevalence of typical direction in research was considered </w:t>
      </w:r>
      <w:r w:rsidR="00834797">
        <w:rPr>
          <w:rFonts w:ascii="Times New Roman" w:eastAsia="Times New Roman" w:hAnsi="Times New Roman" w:cs="Times New Roman"/>
          <w:sz w:val="28"/>
          <w:szCs w:val="28"/>
          <w:lang w:val="en-US" w:eastAsia="ru-RU"/>
        </w:rPr>
        <w:t>null</w:t>
      </w:r>
      <w:r w:rsidR="00314911">
        <w:rPr>
          <w:rFonts w:ascii="Times New Roman" w:eastAsia="Times New Roman" w:hAnsi="Times New Roman" w:cs="Times New Roman"/>
          <w:sz w:val="28"/>
          <w:szCs w:val="28"/>
          <w:lang w:val="en-US" w:eastAsia="ru-RU"/>
        </w:rPr>
        <w:t xml:space="preserve"> hypothesis, consistent prevalence of typical misalignment was considered </w:t>
      </w:r>
      <w:r w:rsidR="00834797">
        <w:rPr>
          <w:rFonts w:ascii="Times New Roman" w:eastAsia="Times New Roman" w:hAnsi="Times New Roman" w:cs="Times New Roman"/>
          <w:sz w:val="28"/>
          <w:szCs w:val="28"/>
          <w:lang w:val="en-US" w:eastAsia="ru-RU"/>
        </w:rPr>
        <w:t>alternative</w:t>
      </w:r>
      <w:r w:rsidR="00314911">
        <w:rPr>
          <w:rFonts w:ascii="Times New Roman" w:eastAsia="Times New Roman" w:hAnsi="Times New Roman" w:cs="Times New Roman"/>
          <w:sz w:val="28"/>
          <w:szCs w:val="28"/>
          <w:lang w:val="en-US" w:eastAsia="ru-RU"/>
        </w:rPr>
        <w:t xml:space="preserve"> hypothesis.</w:t>
      </w:r>
      <w:r w:rsidR="00744EF8">
        <w:rPr>
          <w:rFonts w:ascii="Times New Roman" w:eastAsia="Times New Roman" w:hAnsi="Times New Roman" w:cs="Times New Roman"/>
          <w:sz w:val="28"/>
          <w:szCs w:val="28"/>
          <w:lang w:val="en-US" w:eastAsia="ru-RU"/>
        </w:rPr>
        <w:t xml:space="preserve"> Columns were compared in pairs as follows: the columns with parameters of primary dysfunction area with no stimulus and those with stimulation of prim</w:t>
      </w:r>
      <w:r w:rsidR="0036488B">
        <w:rPr>
          <w:rFonts w:ascii="Times New Roman" w:eastAsia="Times New Roman" w:hAnsi="Times New Roman" w:cs="Times New Roman"/>
          <w:sz w:val="28"/>
          <w:szCs w:val="28"/>
          <w:lang w:val="en-US" w:eastAsia="ru-RU"/>
        </w:rPr>
        <w:t xml:space="preserve">ary dysfunction area; </w:t>
      </w:r>
      <w:r w:rsidR="00BD126A">
        <w:rPr>
          <w:rFonts w:ascii="Times New Roman" w:eastAsia="Times New Roman" w:hAnsi="Times New Roman" w:cs="Times New Roman"/>
          <w:sz w:val="28"/>
          <w:szCs w:val="28"/>
          <w:lang w:val="en-US" w:eastAsia="ru-RU"/>
        </w:rPr>
        <w:t>those of primary dysfunction area with no stimulus and those with stimulation of secondary dysfunction area; those of primary dysfunction area with no stimulus and those with antistimulation of</w:t>
      </w:r>
      <w:r w:rsidR="00BD126A" w:rsidRPr="00BD126A">
        <w:rPr>
          <w:rFonts w:ascii="Times New Roman" w:eastAsia="Times New Roman" w:hAnsi="Times New Roman" w:cs="Times New Roman"/>
          <w:sz w:val="28"/>
          <w:szCs w:val="28"/>
          <w:lang w:val="en-US" w:eastAsia="ru-RU"/>
        </w:rPr>
        <w:t xml:space="preserve"> </w:t>
      </w:r>
      <w:r w:rsidR="00BD126A">
        <w:rPr>
          <w:rFonts w:ascii="Times New Roman" w:eastAsia="Times New Roman" w:hAnsi="Times New Roman" w:cs="Times New Roman"/>
          <w:sz w:val="28"/>
          <w:szCs w:val="28"/>
          <w:lang w:val="en-US" w:eastAsia="ru-RU"/>
        </w:rPr>
        <w:t xml:space="preserve">primary dysfunction area; </w:t>
      </w:r>
      <w:r w:rsidR="00FA1886">
        <w:rPr>
          <w:rFonts w:ascii="Times New Roman" w:eastAsia="Times New Roman" w:hAnsi="Times New Roman" w:cs="Times New Roman"/>
          <w:sz w:val="28"/>
          <w:szCs w:val="28"/>
          <w:lang w:val="en-US" w:eastAsia="ru-RU"/>
        </w:rPr>
        <w:t>those of primary dysfunction area with no stimulus and those with antistimulation of</w:t>
      </w:r>
      <w:r w:rsidR="00FA1886" w:rsidRPr="00BD126A">
        <w:rPr>
          <w:rFonts w:ascii="Times New Roman" w:eastAsia="Times New Roman" w:hAnsi="Times New Roman" w:cs="Times New Roman"/>
          <w:sz w:val="28"/>
          <w:szCs w:val="28"/>
          <w:lang w:val="en-US" w:eastAsia="ru-RU"/>
        </w:rPr>
        <w:t xml:space="preserve"> </w:t>
      </w:r>
      <w:r w:rsidR="00FA1886">
        <w:rPr>
          <w:rFonts w:ascii="Times New Roman" w:eastAsia="Times New Roman" w:hAnsi="Times New Roman" w:cs="Times New Roman"/>
          <w:sz w:val="28"/>
          <w:szCs w:val="28"/>
          <w:lang w:val="en-US" w:eastAsia="ru-RU"/>
        </w:rPr>
        <w:t xml:space="preserve">secondary dysfunction area; those of primary dysfunction area with no stimulus and those with stimulation of indifferent area not related with the preset dysfunction; </w:t>
      </w:r>
      <w:r w:rsidR="00692C4C">
        <w:rPr>
          <w:rFonts w:ascii="Times New Roman" w:eastAsia="Times New Roman" w:hAnsi="Times New Roman" w:cs="Times New Roman"/>
          <w:sz w:val="28"/>
          <w:szCs w:val="28"/>
          <w:lang w:val="en-US" w:eastAsia="ru-RU"/>
        </w:rPr>
        <w:t xml:space="preserve">those of primary dysfunction area with no stimulus and those of primary dysfunction area after the P-DTR treatment; </w:t>
      </w:r>
      <w:r w:rsidR="00081136">
        <w:rPr>
          <w:rFonts w:ascii="Times New Roman" w:eastAsia="Times New Roman" w:hAnsi="Times New Roman" w:cs="Times New Roman"/>
          <w:sz w:val="28"/>
          <w:szCs w:val="28"/>
          <w:lang w:val="en-US" w:eastAsia="ru-RU"/>
        </w:rPr>
        <w:t>those of parameters of secondary dysfunction area with no stimulus and those with stimulation of primary dysfunction area; those of secondary dysfunction area with no stimulus and those with stimulation of secondary dysfunction area; those of secondary dysfunction area with no stimulus and those with antistimulation of</w:t>
      </w:r>
      <w:r w:rsidR="00081136" w:rsidRPr="00BD126A">
        <w:rPr>
          <w:rFonts w:ascii="Times New Roman" w:eastAsia="Times New Roman" w:hAnsi="Times New Roman" w:cs="Times New Roman"/>
          <w:sz w:val="28"/>
          <w:szCs w:val="28"/>
          <w:lang w:val="en-US" w:eastAsia="ru-RU"/>
        </w:rPr>
        <w:t xml:space="preserve"> </w:t>
      </w:r>
      <w:r w:rsidR="00081136">
        <w:rPr>
          <w:rFonts w:ascii="Times New Roman" w:eastAsia="Times New Roman" w:hAnsi="Times New Roman" w:cs="Times New Roman"/>
          <w:sz w:val="28"/>
          <w:szCs w:val="28"/>
          <w:lang w:val="en-US" w:eastAsia="ru-RU"/>
        </w:rPr>
        <w:t>primary dysfunction area; those of secondary dysfunction area with no stimulus and those with antistimulation of</w:t>
      </w:r>
      <w:r w:rsidR="00081136" w:rsidRPr="00BD126A">
        <w:rPr>
          <w:rFonts w:ascii="Times New Roman" w:eastAsia="Times New Roman" w:hAnsi="Times New Roman" w:cs="Times New Roman"/>
          <w:sz w:val="28"/>
          <w:szCs w:val="28"/>
          <w:lang w:val="en-US" w:eastAsia="ru-RU"/>
        </w:rPr>
        <w:t xml:space="preserve"> </w:t>
      </w:r>
      <w:r w:rsidR="00081136">
        <w:rPr>
          <w:rFonts w:ascii="Times New Roman" w:eastAsia="Times New Roman" w:hAnsi="Times New Roman" w:cs="Times New Roman"/>
          <w:sz w:val="28"/>
          <w:szCs w:val="28"/>
          <w:lang w:val="en-US" w:eastAsia="ru-RU"/>
        </w:rPr>
        <w:t>secondary dysfunction area; those of secondary dysfunction area with no stimulus and those with stimulation of indifferent area not related with the preset dysfunction; those of secondary dysfunction area with no stimulus and those of secondary dysfunction area after the P-DTR treatment</w:t>
      </w:r>
      <w:r w:rsidR="00081136" w:rsidRPr="00081136">
        <w:rPr>
          <w:rFonts w:ascii="Times New Roman" w:eastAsia="Times New Roman" w:hAnsi="Times New Roman" w:cs="Times New Roman"/>
          <w:sz w:val="28"/>
          <w:szCs w:val="28"/>
          <w:lang w:val="en-US" w:eastAsia="ru-RU"/>
        </w:rPr>
        <w:t>.</w:t>
      </w:r>
      <w:r w:rsidR="00DA7632">
        <w:rPr>
          <w:rFonts w:ascii="Times New Roman" w:eastAsia="Times New Roman" w:hAnsi="Times New Roman" w:cs="Times New Roman"/>
          <w:sz w:val="28"/>
          <w:szCs w:val="28"/>
          <w:lang w:val="en-US" w:eastAsia="ru-RU"/>
        </w:rPr>
        <w:t xml:space="preserve"> In all samplings </w:t>
      </w:r>
      <w:r w:rsidR="00081136">
        <w:rPr>
          <w:rFonts w:ascii="Times New Roman" w:eastAsia="Times New Roman" w:hAnsi="Times New Roman" w:cs="Times New Roman"/>
          <w:sz w:val="28"/>
          <w:szCs w:val="28"/>
          <w:lang w:val="en-US" w:eastAsia="ru-RU"/>
        </w:rPr>
        <w:t xml:space="preserve">of bioelectrical activity of </w:t>
      </w:r>
      <w:r w:rsidR="00C1309A">
        <w:rPr>
          <w:rFonts w:ascii="Times New Roman" w:eastAsia="Times New Roman" w:hAnsi="Times New Roman" w:cs="Times New Roman"/>
          <w:sz w:val="28"/>
          <w:szCs w:val="28"/>
          <w:lang w:val="en-US" w:eastAsia="ru-RU"/>
        </w:rPr>
        <w:t>receptor</w:t>
      </w:r>
      <w:r w:rsidR="00081136">
        <w:rPr>
          <w:rFonts w:ascii="Times New Roman" w:eastAsia="Times New Roman" w:hAnsi="Times New Roman" w:cs="Times New Roman"/>
          <w:sz w:val="28"/>
          <w:szCs w:val="28"/>
          <w:lang w:val="en-US" w:eastAsia="ru-RU"/>
        </w:rPr>
        <w:t xml:space="preserve"> areas</w:t>
      </w:r>
      <w:r w:rsidR="00DA7632">
        <w:rPr>
          <w:rFonts w:ascii="Times New Roman" w:eastAsia="Times New Roman" w:hAnsi="Times New Roman" w:cs="Times New Roman"/>
          <w:sz w:val="28"/>
          <w:szCs w:val="28"/>
          <w:lang w:val="en-US" w:eastAsia="ru-RU"/>
        </w:rPr>
        <w:t xml:space="preserve">, besides the columns of comparison of parameters with stimulation in indifferent areas the empirical G is less than the critical G that shows reliability of determinate shift in parameter variations. </w:t>
      </w:r>
    </w:p>
    <w:p w:rsidR="00476220" w:rsidRDefault="00E27CC6" w:rsidP="0057348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specified</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compared</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pairs</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primary</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dysfunction</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area</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with</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no</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stimulus</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and</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those</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 primary</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dysfunction</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area</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with</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stimulation</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indifferent</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area; those of</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secondary</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dysfunction</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area</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with</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no</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stimulus</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and</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those</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 secondary</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dysfunction</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area</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with</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stimulation</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indifferent</w:t>
      </w:r>
      <w:r w:rsidRPr="00E27CC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area were not </w:t>
      </w:r>
      <w:r w:rsidR="00476220">
        <w:rPr>
          <w:rFonts w:ascii="Times New Roman" w:eastAsia="Times New Roman" w:hAnsi="Times New Roman" w:cs="Times New Roman"/>
          <w:sz w:val="28"/>
          <w:szCs w:val="28"/>
          <w:lang w:val="en-US" w:eastAsia="ru-RU"/>
        </w:rPr>
        <w:t>indicated</w:t>
      </w:r>
      <w:r>
        <w:rPr>
          <w:rFonts w:ascii="Times New Roman" w:eastAsia="Times New Roman" w:hAnsi="Times New Roman" w:cs="Times New Roman"/>
          <w:sz w:val="28"/>
          <w:szCs w:val="28"/>
          <w:lang w:val="en-US" w:eastAsia="ru-RU"/>
        </w:rPr>
        <w:t xml:space="preserve"> any significant parameter shifts</w:t>
      </w:r>
      <w:r w:rsidRPr="00E27CC6">
        <w:rPr>
          <w:rFonts w:ascii="Times New Roman" w:eastAsia="Times New Roman" w:hAnsi="Times New Roman" w:cs="Times New Roman"/>
          <w:sz w:val="28"/>
          <w:szCs w:val="28"/>
          <w:lang w:val="en-US" w:eastAsia="ru-RU"/>
        </w:rPr>
        <w:t xml:space="preserve"> </w:t>
      </w:r>
      <w:r w:rsidR="00B11378">
        <w:rPr>
          <w:rFonts w:ascii="Times New Roman" w:eastAsia="Times New Roman" w:hAnsi="Times New Roman" w:cs="Times New Roman"/>
          <w:sz w:val="28"/>
          <w:szCs w:val="28"/>
          <w:lang w:val="en-US" w:eastAsia="ru-RU"/>
        </w:rPr>
        <w:t>since the bioelectrical activity did not change significantly.</w:t>
      </w:r>
      <w:r w:rsidRPr="00E27CC6">
        <w:rPr>
          <w:rFonts w:ascii="Times New Roman" w:eastAsia="Times New Roman" w:hAnsi="Times New Roman" w:cs="Times New Roman"/>
          <w:sz w:val="28"/>
          <w:szCs w:val="28"/>
          <w:lang w:val="en-US" w:eastAsia="ru-RU"/>
        </w:rPr>
        <w:t xml:space="preserve"> </w:t>
      </w:r>
    </w:p>
    <w:p w:rsidR="00476220" w:rsidRDefault="00476220">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ype="page"/>
      </w:r>
    </w:p>
    <w:p w:rsidR="004114DA" w:rsidRDefault="004114DA" w:rsidP="0057348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p>
    <w:p w:rsidR="00B23D60" w:rsidRPr="00B23D60" w:rsidRDefault="00B23D60" w:rsidP="0057348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obtained data show that:</w:t>
      </w:r>
    </w:p>
    <w:p w:rsidR="00B23D60" w:rsidRPr="00834797" w:rsidRDefault="00B23D60" w:rsidP="0051372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p>
    <w:p w:rsidR="00834797" w:rsidRPr="00834797" w:rsidRDefault="00834797" w:rsidP="003608CF">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stimulation of the secondary dysfunction area decreases bioelectrical activity </w:t>
      </w:r>
      <w:r w:rsidR="003608CF">
        <w:rPr>
          <w:rFonts w:ascii="Times New Roman" w:eastAsia="Times New Roman" w:hAnsi="Times New Roman" w:cs="Times New Roman"/>
          <w:sz w:val="28"/>
          <w:szCs w:val="28"/>
          <w:lang w:val="en-US" w:eastAsia="ru-RU"/>
        </w:rPr>
        <w:t>in the primary dysfunction area;</w:t>
      </w:r>
    </w:p>
    <w:p w:rsidR="003608CF" w:rsidRPr="003608CF" w:rsidRDefault="0051372A" w:rsidP="0051372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3608CF">
        <w:rPr>
          <w:rFonts w:ascii="Times New Roman" w:eastAsia="Times New Roman" w:hAnsi="Times New Roman" w:cs="Times New Roman"/>
          <w:sz w:val="28"/>
          <w:szCs w:val="28"/>
          <w:lang w:val="en-US" w:eastAsia="ru-RU"/>
        </w:rPr>
        <w:t xml:space="preserve">- </w:t>
      </w:r>
      <w:r w:rsidR="003608CF">
        <w:rPr>
          <w:rFonts w:ascii="Times New Roman" w:eastAsia="Times New Roman" w:hAnsi="Times New Roman" w:cs="Times New Roman"/>
          <w:sz w:val="28"/>
          <w:szCs w:val="28"/>
          <w:lang w:val="en-US" w:eastAsia="ru-RU"/>
        </w:rPr>
        <w:t>antistimulation of</w:t>
      </w:r>
      <w:r w:rsidR="003608CF" w:rsidRPr="00BD126A">
        <w:rPr>
          <w:rFonts w:ascii="Times New Roman" w:eastAsia="Times New Roman" w:hAnsi="Times New Roman" w:cs="Times New Roman"/>
          <w:sz w:val="28"/>
          <w:szCs w:val="28"/>
          <w:lang w:val="en-US" w:eastAsia="ru-RU"/>
        </w:rPr>
        <w:t xml:space="preserve"> </w:t>
      </w:r>
      <w:r w:rsidR="003608CF">
        <w:rPr>
          <w:rFonts w:ascii="Times New Roman" w:eastAsia="Times New Roman" w:hAnsi="Times New Roman" w:cs="Times New Roman"/>
          <w:sz w:val="28"/>
          <w:szCs w:val="28"/>
          <w:lang w:val="en-US" w:eastAsia="ru-RU"/>
        </w:rPr>
        <w:t xml:space="preserve">secondary general dysfunction area increases bioelectrical activity in the primary dysfunction area; </w:t>
      </w:r>
    </w:p>
    <w:p w:rsidR="003608CF" w:rsidRDefault="0051372A" w:rsidP="0051372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055DE6">
        <w:rPr>
          <w:rFonts w:ascii="Times New Roman" w:eastAsia="Times New Roman" w:hAnsi="Times New Roman" w:cs="Times New Roman"/>
          <w:sz w:val="28"/>
          <w:szCs w:val="28"/>
          <w:lang w:val="en-US" w:eastAsia="ru-RU"/>
        </w:rPr>
        <w:t xml:space="preserve">- </w:t>
      </w:r>
      <w:r w:rsidR="003608CF">
        <w:rPr>
          <w:rFonts w:ascii="Times New Roman" w:eastAsia="Times New Roman" w:hAnsi="Times New Roman" w:cs="Times New Roman"/>
          <w:sz w:val="28"/>
          <w:szCs w:val="28"/>
          <w:lang w:val="en-US" w:eastAsia="ru-RU"/>
        </w:rPr>
        <w:t xml:space="preserve">research of </w:t>
      </w:r>
      <w:r w:rsidR="00055DE6">
        <w:rPr>
          <w:rFonts w:ascii="Times New Roman" w:eastAsia="Times New Roman" w:hAnsi="Times New Roman" w:cs="Times New Roman"/>
          <w:sz w:val="28"/>
          <w:szCs w:val="28"/>
          <w:lang w:val="en-US" w:eastAsia="ru-RU"/>
        </w:rPr>
        <w:t xml:space="preserve">bioelectrical activity in the primary dysfunction areas with no stimulus and with stimulation of the area not related to this dysfunction does not </w:t>
      </w:r>
      <w:r w:rsidR="00476220">
        <w:rPr>
          <w:rFonts w:ascii="Times New Roman" w:eastAsia="Times New Roman" w:hAnsi="Times New Roman" w:cs="Times New Roman"/>
          <w:sz w:val="28"/>
          <w:szCs w:val="28"/>
          <w:lang w:val="en-US" w:eastAsia="ru-RU"/>
        </w:rPr>
        <w:t>indicate</w:t>
      </w:r>
      <w:r w:rsidR="00055DE6">
        <w:rPr>
          <w:rFonts w:ascii="Times New Roman" w:eastAsia="Times New Roman" w:hAnsi="Times New Roman" w:cs="Times New Roman"/>
          <w:sz w:val="28"/>
          <w:szCs w:val="28"/>
          <w:lang w:val="en-US" w:eastAsia="ru-RU"/>
        </w:rPr>
        <w:t xml:space="preserve"> a significant difference;</w:t>
      </w:r>
    </w:p>
    <w:p w:rsidR="00055DE6" w:rsidRDefault="00055DE6" w:rsidP="0051372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after P-DTR treatment activity in the area of primary </w:t>
      </w:r>
      <w:r w:rsidR="00C1309A">
        <w:rPr>
          <w:rFonts w:ascii="Times New Roman" w:eastAsia="Times New Roman" w:hAnsi="Times New Roman" w:cs="Times New Roman"/>
          <w:sz w:val="28"/>
          <w:szCs w:val="28"/>
          <w:lang w:val="en-US" w:eastAsia="ru-RU"/>
        </w:rPr>
        <w:t>receptor</w:t>
      </w:r>
      <w:r>
        <w:rPr>
          <w:rFonts w:ascii="Times New Roman" w:eastAsia="Times New Roman" w:hAnsi="Times New Roman" w:cs="Times New Roman"/>
          <w:sz w:val="28"/>
          <w:szCs w:val="28"/>
          <w:lang w:val="en-US" w:eastAsia="ru-RU"/>
        </w:rPr>
        <w:t xml:space="preserve"> field </w:t>
      </w:r>
      <w:r w:rsidR="009A3A4A">
        <w:rPr>
          <w:rFonts w:ascii="Times New Roman" w:eastAsia="Times New Roman" w:hAnsi="Times New Roman" w:cs="Times New Roman"/>
          <w:sz w:val="28"/>
          <w:szCs w:val="28"/>
          <w:lang w:val="en-US" w:eastAsia="ru-RU"/>
        </w:rPr>
        <w:t>tends to decrease;</w:t>
      </w:r>
    </w:p>
    <w:p w:rsidR="009A3A4A" w:rsidRPr="009A3A4A" w:rsidRDefault="009A3A4A" w:rsidP="0051372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9A3A4A">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stimulation of the primary dysfunction area </w:t>
      </w:r>
      <w:r w:rsidR="00BA280B">
        <w:rPr>
          <w:rFonts w:ascii="Times New Roman" w:eastAsia="Times New Roman" w:hAnsi="Times New Roman" w:cs="Times New Roman"/>
          <w:sz w:val="28"/>
          <w:szCs w:val="28"/>
          <w:lang w:val="en-US" w:eastAsia="ru-RU"/>
        </w:rPr>
        <w:t>increases bioelectrical activity in the secondary dysfunction area;</w:t>
      </w:r>
    </w:p>
    <w:p w:rsidR="00BA280B" w:rsidRPr="00BA280B" w:rsidRDefault="00BA280B" w:rsidP="00BA280B">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BA280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antistimulation of</w:t>
      </w:r>
      <w:r w:rsidRPr="00BA280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primary dysfunction area</w:t>
      </w:r>
      <w:r w:rsidRPr="00BA280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decreases</w:t>
      </w:r>
      <w:r w:rsidRPr="00BA280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bioelectrical activity in the secondary dysfunction area;</w:t>
      </w:r>
    </w:p>
    <w:p w:rsidR="00BA280B" w:rsidRDefault="00BA280B" w:rsidP="00BA280B">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BA280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research of bioelectrical activity in the</w:t>
      </w:r>
      <w:r w:rsidRPr="00BA280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secondary general dysfunction area</w:t>
      </w:r>
      <w:r w:rsidRPr="00BA280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with no stimulus and with stimulation of the area not related to this dysfunction does not show a significant difference;</w:t>
      </w:r>
    </w:p>
    <w:p w:rsidR="00BA280B" w:rsidRPr="00BA280B" w:rsidRDefault="00BA280B" w:rsidP="00BA280B">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BA280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after P-DTR treatment activity in the area of secondary recept</w:t>
      </w:r>
      <w:r w:rsidR="00C1309A">
        <w:rPr>
          <w:rFonts w:ascii="Times New Roman" w:eastAsia="Times New Roman" w:hAnsi="Times New Roman" w:cs="Times New Roman"/>
          <w:sz w:val="28"/>
          <w:szCs w:val="28"/>
          <w:lang w:val="en-US" w:eastAsia="ru-RU"/>
        </w:rPr>
        <w:t>or</w:t>
      </w:r>
      <w:r>
        <w:rPr>
          <w:rFonts w:ascii="Times New Roman" w:eastAsia="Times New Roman" w:hAnsi="Times New Roman" w:cs="Times New Roman"/>
          <w:sz w:val="28"/>
          <w:szCs w:val="28"/>
          <w:lang w:val="en-US" w:eastAsia="ru-RU"/>
        </w:rPr>
        <w:t xml:space="preserve"> field tends to decrease</w:t>
      </w:r>
      <w:r w:rsidRPr="00BA280B">
        <w:rPr>
          <w:rFonts w:ascii="Times New Roman" w:eastAsia="Times New Roman" w:hAnsi="Times New Roman" w:cs="Times New Roman"/>
          <w:sz w:val="28"/>
          <w:szCs w:val="28"/>
          <w:lang w:val="en-US" w:eastAsia="ru-RU"/>
        </w:rPr>
        <w:t>.</w:t>
      </w:r>
    </w:p>
    <w:p w:rsidR="0074368A" w:rsidRPr="00C1309A" w:rsidRDefault="0074368A" w:rsidP="004114DA">
      <w:pPr>
        <w:widowControl w:val="0"/>
        <w:autoSpaceDE w:val="0"/>
        <w:autoSpaceDN w:val="0"/>
        <w:spacing w:after="0" w:line="240" w:lineRule="auto"/>
        <w:jc w:val="both"/>
        <w:rPr>
          <w:lang w:val="en-US" w:eastAsia="ru-RU"/>
        </w:rPr>
      </w:pP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In order to assess the index muscle by stimulation of the primary receptor field with UTL and the secondary receptor field with UTL, an assessment of interferentional electroneuromyogram with skin electrodes leads was used.</w:t>
      </w: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  In order to assess the status of primary field-associated muscle dysfunction during the primary receptor field and the secondary receptor field stimulation and the secondary field-associated muscle dysfunction during the primary receptor field and the secondary receptor field stimulation, an assessment of interferentional electroneuromyogram with skin electrodes leads was used.</w:t>
      </w: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The obtained ENMG data were statistically processed using the signed G-test. The null hypo</w:t>
      </w:r>
      <w:r w:rsidR="00476220">
        <w:rPr>
          <w:rFonts w:ascii="Times New Roman" w:eastAsia="Times New Roman" w:hAnsi="Times New Roman" w:cs="Times New Roman"/>
          <w:sz w:val="28"/>
          <w:szCs w:val="28"/>
          <w:lang w:val="en"/>
        </w:rPr>
        <w:t xml:space="preserve">thesis was the randomness of </w:t>
      </w:r>
      <w:r>
        <w:rPr>
          <w:rFonts w:ascii="Times New Roman" w:eastAsia="Times New Roman" w:hAnsi="Times New Roman" w:cs="Times New Roman"/>
          <w:sz w:val="28"/>
          <w:szCs w:val="28"/>
          <w:lang w:val="en"/>
        </w:rPr>
        <w:t xml:space="preserve">prevalence of a typical direction in the studies, the alternative hypothesis was the regular prevalence of typical shifts. Pairwise comparison was performed for columns with interferential EMG parameters of the index muscle with UTL in the absence of a stimulus versus the interferential EMG parameters of the index muscle with a stimulation of the primary receptor field with UTL; for columns with interferential EMG parameters of the index muscle with UTL in the absence of a stimulus versus the interferential EMG parameters of the index muscle with a stimulation of the secondary receptor field with UTL; the parameters of field-associated primary muscle dysfunction in the absence of stimulus versus the interferential EMG parameters of field-associated primary muscle dysfunction with a stimulation of the primary receptor field; for the interferential EMG parameters of field-associated primary muscle dysfunction in the absence of stimulus versus the interferential EMG parameters of field-associated primary muscle dysfunction with a stimulation of the secondary receptor field; for the interferential EMG parameters of field-associated secondary muscle dysfunction in the absence of stimulus versus the interferential EMG parameters of field-associated primary muscle dysfunction with a stimulation of the primary receptor field; for the interferential EMG </w:t>
      </w:r>
      <w:r>
        <w:rPr>
          <w:rFonts w:ascii="Times New Roman" w:eastAsia="Times New Roman" w:hAnsi="Times New Roman" w:cs="Times New Roman"/>
          <w:sz w:val="28"/>
          <w:szCs w:val="28"/>
          <w:lang w:val="en"/>
        </w:rPr>
        <w:lastRenderedPageBreak/>
        <w:t>parameters of field-associated secondary muscle dysfunction in the absence of stimulus versus the interferential EMG parameters of field-associated secondary muscle dysfunction with a stimulation of the secondary receptor field.</w:t>
      </w: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   For all the samples of interferential EMG of the muscles, the G empirical was &lt; G critical, signifying the validity of the regular shift of parameters change.</w:t>
      </w:r>
    </w:p>
    <w:p w:rsidR="0074368A" w:rsidRPr="003641F1"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
        </w:rPr>
        <w:t>The obtained data:</w:t>
      </w:r>
    </w:p>
    <w:p w:rsidR="00C63F7A" w:rsidRDefault="002160D0" w:rsidP="004114DA">
      <w:pPr>
        <w:widowControl w:val="0"/>
        <w:autoSpaceDE w:val="0"/>
        <w:autoSpaceDN w:val="0"/>
        <w:spacing w:after="0" w:line="240" w:lineRule="auto"/>
        <w:jc w:val="both"/>
      </w:pPr>
      <w:r>
        <w:rPr>
          <w:lang w:eastAsia="ru-RU"/>
        </w:rPr>
        <w:fldChar w:fldCharType="begin"/>
      </w:r>
      <w:r>
        <w:rPr>
          <w:lang w:eastAsia="ru-RU"/>
        </w:rPr>
        <w:instrText xml:space="preserve"> LINK </w:instrText>
      </w:r>
      <w:r w:rsidR="00C63F7A">
        <w:rPr>
          <w:lang w:eastAsia="ru-RU"/>
        </w:rPr>
        <w:instrText xml:space="preserve">Excel.Sheet.12 "C:\\Users\\Fedorov\\Desktop\\таблица мышцы переделать.xlsx" Лист1!R1C1:R61C9 </w:instrText>
      </w:r>
      <w:r>
        <w:rPr>
          <w:lang w:eastAsia="ru-RU"/>
        </w:rPr>
        <w:instrText xml:space="preserve">\a \f 4 \h  \* MERGEFORMAT </w:instrText>
      </w:r>
      <w:r>
        <w:rPr>
          <w:lang w:eastAsia="ru-RU"/>
        </w:rPr>
        <w:fldChar w:fldCharType="separate"/>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80"/>
        <w:gridCol w:w="980"/>
        <w:gridCol w:w="980"/>
        <w:gridCol w:w="980"/>
        <w:gridCol w:w="980"/>
        <w:gridCol w:w="980"/>
        <w:gridCol w:w="980"/>
        <w:gridCol w:w="981"/>
      </w:tblGrid>
      <w:tr w:rsidR="002B7C56" w:rsidRPr="00261C4F" w:rsidTr="00764F88">
        <w:trPr>
          <w:divId w:val="438842312"/>
          <w:trHeight w:val="2538"/>
          <w:jc w:val="center"/>
        </w:trPr>
        <w:tc>
          <w:tcPr>
            <w:tcW w:w="980" w:type="dxa"/>
            <w:shd w:val="clear" w:color="auto" w:fill="auto"/>
            <w:textDirection w:val="btLr"/>
            <w:vAlign w:val="bottom"/>
            <w:hideMark/>
          </w:tcPr>
          <w:p w:rsidR="002B7C56" w:rsidRPr="001227C8"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P</w:t>
            </w:r>
            <w:r w:rsidRPr="001227C8">
              <w:rPr>
                <w:rFonts w:ascii="Calibri" w:eastAsia="Times New Roman" w:hAnsi="Calibri" w:cs="Times New Roman"/>
                <w:color w:val="000000"/>
                <w:sz w:val="18"/>
                <w:szCs w:val="18"/>
                <w:lang w:val="en-US" w:eastAsia="ru-RU"/>
              </w:rPr>
              <w:t xml:space="preserve">rimary field-associated muscle in the absence of stimulus </w:t>
            </w:r>
          </w:p>
        </w:tc>
        <w:tc>
          <w:tcPr>
            <w:tcW w:w="980" w:type="dxa"/>
            <w:shd w:val="clear" w:color="000000" w:fill="FFFFFF"/>
            <w:textDirection w:val="btLr"/>
            <w:vAlign w:val="bottom"/>
            <w:hideMark/>
          </w:tcPr>
          <w:p w:rsidR="002B7C56" w:rsidRPr="001227C8"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P</w:t>
            </w:r>
            <w:r w:rsidRPr="001227C8">
              <w:rPr>
                <w:rFonts w:ascii="Calibri" w:eastAsia="Times New Roman" w:hAnsi="Calibri" w:cs="Times New Roman"/>
                <w:color w:val="000000"/>
                <w:sz w:val="18"/>
                <w:szCs w:val="18"/>
                <w:lang w:val="en-US" w:eastAsia="ru-RU"/>
              </w:rPr>
              <w:t>rimary field-associated muscle with a stimulation of the primary receptor field</w:t>
            </w:r>
          </w:p>
        </w:tc>
        <w:tc>
          <w:tcPr>
            <w:tcW w:w="980" w:type="dxa"/>
            <w:shd w:val="clear" w:color="000000" w:fill="FFFFFF"/>
            <w:textDirection w:val="btLr"/>
            <w:vAlign w:val="bottom"/>
            <w:hideMark/>
          </w:tcPr>
          <w:p w:rsidR="002B7C56" w:rsidRPr="005F5B15"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P</w:t>
            </w:r>
            <w:r w:rsidRPr="001227C8">
              <w:rPr>
                <w:rFonts w:ascii="Calibri" w:eastAsia="Times New Roman" w:hAnsi="Calibri" w:cs="Times New Roman"/>
                <w:color w:val="000000"/>
                <w:sz w:val="18"/>
                <w:szCs w:val="18"/>
                <w:lang w:val="en-US" w:eastAsia="ru-RU"/>
              </w:rPr>
              <w:t xml:space="preserve">rimary field-associated muscle with a stimulation of the </w:t>
            </w:r>
            <w:r>
              <w:rPr>
                <w:rFonts w:ascii="Calibri" w:eastAsia="Times New Roman" w:hAnsi="Calibri" w:cs="Times New Roman"/>
                <w:color w:val="000000"/>
                <w:sz w:val="18"/>
                <w:szCs w:val="18"/>
                <w:lang w:val="en-US" w:eastAsia="ru-RU"/>
              </w:rPr>
              <w:t>second</w:t>
            </w:r>
            <w:r w:rsidRPr="001227C8">
              <w:rPr>
                <w:rFonts w:ascii="Calibri" w:eastAsia="Times New Roman" w:hAnsi="Calibri" w:cs="Times New Roman"/>
                <w:color w:val="000000"/>
                <w:sz w:val="18"/>
                <w:szCs w:val="18"/>
                <w:lang w:val="en-US" w:eastAsia="ru-RU"/>
              </w:rPr>
              <w:t>ary receptor field</w:t>
            </w:r>
          </w:p>
        </w:tc>
        <w:tc>
          <w:tcPr>
            <w:tcW w:w="980" w:type="dxa"/>
            <w:shd w:val="clear" w:color="auto" w:fill="auto"/>
            <w:textDirection w:val="btLr"/>
            <w:vAlign w:val="bottom"/>
            <w:hideMark/>
          </w:tcPr>
          <w:p w:rsidR="002B7C56" w:rsidRPr="001227C8"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Second</w:t>
            </w:r>
            <w:r w:rsidRPr="001227C8">
              <w:rPr>
                <w:rFonts w:ascii="Calibri" w:eastAsia="Times New Roman" w:hAnsi="Calibri" w:cs="Times New Roman"/>
                <w:color w:val="000000"/>
                <w:sz w:val="18"/>
                <w:szCs w:val="18"/>
                <w:lang w:val="en-US" w:eastAsia="ru-RU"/>
              </w:rPr>
              <w:t xml:space="preserve">ary field-associated muscle in the absence of stimulus </w:t>
            </w:r>
          </w:p>
        </w:tc>
        <w:tc>
          <w:tcPr>
            <w:tcW w:w="980" w:type="dxa"/>
            <w:shd w:val="clear" w:color="000000" w:fill="FFFFFF"/>
            <w:textDirection w:val="btLr"/>
            <w:vAlign w:val="bottom"/>
            <w:hideMark/>
          </w:tcPr>
          <w:p w:rsidR="002B7C56" w:rsidRPr="001227C8"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Second</w:t>
            </w:r>
            <w:r w:rsidRPr="001227C8">
              <w:rPr>
                <w:rFonts w:ascii="Calibri" w:eastAsia="Times New Roman" w:hAnsi="Calibri" w:cs="Times New Roman"/>
                <w:color w:val="000000"/>
                <w:sz w:val="18"/>
                <w:szCs w:val="18"/>
                <w:lang w:val="en-US" w:eastAsia="ru-RU"/>
              </w:rPr>
              <w:t>ary field-associated muscle with a stimulation of the primary receptor field</w:t>
            </w:r>
          </w:p>
        </w:tc>
        <w:tc>
          <w:tcPr>
            <w:tcW w:w="980" w:type="dxa"/>
            <w:shd w:val="clear" w:color="000000" w:fill="FFFFFF"/>
            <w:textDirection w:val="btLr"/>
            <w:vAlign w:val="bottom"/>
            <w:hideMark/>
          </w:tcPr>
          <w:p w:rsidR="002B7C56" w:rsidRPr="005F5B15"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Second</w:t>
            </w:r>
            <w:r w:rsidRPr="001227C8">
              <w:rPr>
                <w:rFonts w:ascii="Calibri" w:eastAsia="Times New Roman" w:hAnsi="Calibri" w:cs="Times New Roman"/>
                <w:color w:val="000000"/>
                <w:sz w:val="18"/>
                <w:szCs w:val="18"/>
                <w:lang w:val="en-US" w:eastAsia="ru-RU"/>
              </w:rPr>
              <w:t xml:space="preserve">ary field-associated muscle with a stimulation of the </w:t>
            </w:r>
            <w:r>
              <w:rPr>
                <w:rFonts w:ascii="Calibri" w:eastAsia="Times New Roman" w:hAnsi="Calibri" w:cs="Times New Roman"/>
                <w:color w:val="000000"/>
                <w:sz w:val="18"/>
                <w:szCs w:val="18"/>
                <w:lang w:val="en-US" w:eastAsia="ru-RU"/>
              </w:rPr>
              <w:t>second</w:t>
            </w:r>
            <w:r w:rsidRPr="001227C8">
              <w:rPr>
                <w:rFonts w:ascii="Calibri" w:eastAsia="Times New Roman" w:hAnsi="Calibri" w:cs="Times New Roman"/>
                <w:color w:val="000000"/>
                <w:sz w:val="18"/>
                <w:szCs w:val="18"/>
                <w:lang w:val="en-US" w:eastAsia="ru-RU"/>
              </w:rPr>
              <w:t>ary receptor field</w:t>
            </w:r>
          </w:p>
        </w:tc>
        <w:tc>
          <w:tcPr>
            <w:tcW w:w="980" w:type="dxa"/>
            <w:shd w:val="clear" w:color="auto" w:fill="auto"/>
            <w:textDirection w:val="btLr"/>
            <w:vAlign w:val="bottom"/>
            <w:hideMark/>
          </w:tcPr>
          <w:p w:rsidR="002B7C56" w:rsidRPr="00AC5B6D"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I</w:t>
            </w:r>
            <w:r w:rsidRPr="00AC5B6D">
              <w:rPr>
                <w:rFonts w:ascii="Calibri" w:eastAsia="Times New Roman" w:hAnsi="Calibri" w:cs="Times New Roman"/>
                <w:color w:val="000000"/>
                <w:sz w:val="18"/>
                <w:szCs w:val="18"/>
                <w:lang w:val="en-US" w:eastAsia="ru-RU"/>
              </w:rPr>
              <w:t>ndex muscle in the absence of stimulus</w:t>
            </w:r>
          </w:p>
        </w:tc>
        <w:tc>
          <w:tcPr>
            <w:tcW w:w="980" w:type="dxa"/>
            <w:shd w:val="clear" w:color="000000" w:fill="FFFFFF"/>
            <w:textDirection w:val="btLr"/>
            <w:vAlign w:val="bottom"/>
            <w:hideMark/>
          </w:tcPr>
          <w:p w:rsidR="002B7C56" w:rsidRPr="002B7C56"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I</w:t>
            </w:r>
            <w:r w:rsidRPr="00AC5B6D">
              <w:rPr>
                <w:rFonts w:ascii="Calibri" w:eastAsia="Times New Roman" w:hAnsi="Calibri" w:cs="Times New Roman"/>
                <w:color w:val="000000"/>
                <w:sz w:val="18"/>
                <w:szCs w:val="18"/>
                <w:lang w:val="en-US" w:eastAsia="ru-RU"/>
              </w:rPr>
              <w:t>ndex</w:t>
            </w:r>
            <w:r w:rsidRPr="002B7C56">
              <w:rPr>
                <w:rFonts w:ascii="Calibri" w:eastAsia="Times New Roman" w:hAnsi="Calibri" w:cs="Times New Roman"/>
                <w:color w:val="000000"/>
                <w:sz w:val="18"/>
                <w:szCs w:val="18"/>
                <w:lang w:val="en-US" w:eastAsia="ru-RU"/>
              </w:rPr>
              <w:t xml:space="preserve"> </w:t>
            </w:r>
            <w:r w:rsidRPr="00AC5B6D">
              <w:rPr>
                <w:rFonts w:ascii="Calibri" w:eastAsia="Times New Roman" w:hAnsi="Calibri" w:cs="Times New Roman"/>
                <w:color w:val="000000"/>
                <w:sz w:val="18"/>
                <w:szCs w:val="18"/>
                <w:lang w:val="en-US" w:eastAsia="ru-RU"/>
              </w:rPr>
              <w:t>muscle</w:t>
            </w:r>
            <w:r w:rsidRPr="002B7C56">
              <w:rPr>
                <w:rFonts w:ascii="Calibri" w:eastAsia="Times New Roman" w:hAnsi="Calibri" w:cs="Times New Roman"/>
                <w:color w:val="000000"/>
                <w:sz w:val="18"/>
                <w:szCs w:val="18"/>
                <w:lang w:val="en-US" w:eastAsia="ru-RU"/>
              </w:rPr>
              <w:t xml:space="preserve"> </w:t>
            </w:r>
            <w:r w:rsidRPr="001227C8">
              <w:rPr>
                <w:rFonts w:ascii="Calibri" w:eastAsia="Times New Roman" w:hAnsi="Calibri" w:cs="Times New Roman"/>
                <w:color w:val="000000"/>
                <w:sz w:val="18"/>
                <w:szCs w:val="18"/>
                <w:lang w:val="en-US" w:eastAsia="ru-RU"/>
              </w:rPr>
              <w:t>with a stimulation of the primary receptor field</w:t>
            </w:r>
          </w:p>
        </w:tc>
        <w:tc>
          <w:tcPr>
            <w:tcW w:w="981" w:type="dxa"/>
            <w:shd w:val="clear" w:color="000000" w:fill="FFFFFF"/>
            <w:textDirection w:val="btLr"/>
            <w:vAlign w:val="bottom"/>
            <w:hideMark/>
          </w:tcPr>
          <w:p w:rsidR="002B7C56" w:rsidRPr="002B7C56" w:rsidRDefault="002B7C56" w:rsidP="002B7C56">
            <w:pPr>
              <w:spacing w:after="0" w:line="240" w:lineRule="auto"/>
              <w:rPr>
                <w:rFonts w:ascii="Calibri" w:eastAsia="Times New Roman" w:hAnsi="Calibri" w:cs="Times New Roman"/>
                <w:color w:val="000000"/>
                <w:sz w:val="18"/>
                <w:szCs w:val="18"/>
                <w:lang w:val="en-US" w:eastAsia="ru-RU"/>
              </w:rPr>
            </w:pPr>
            <w:r>
              <w:rPr>
                <w:rFonts w:ascii="Calibri" w:eastAsia="Times New Roman" w:hAnsi="Calibri" w:cs="Times New Roman"/>
                <w:color w:val="000000"/>
                <w:sz w:val="18"/>
                <w:szCs w:val="18"/>
                <w:lang w:val="en-US" w:eastAsia="ru-RU"/>
              </w:rPr>
              <w:t>I</w:t>
            </w:r>
            <w:r w:rsidRPr="00AC5B6D">
              <w:rPr>
                <w:rFonts w:ascii="Calibri" w:eastAsia="Times New Roman" w:hAnsi="Calibri" w:cs="Times New Roman"/>
                <w:color w:val="000000"/>
                <w:sz w:val="18"/>
                <w:szCs w:val="18"/>
                <w:lang w:val="en-US" w:eastAsia="ru-RU"/>
              </w:rPr>
              <w:t>ndex</w:t>
            </w:r>
            <w:r w:rsidRPr="002B7C56">
              <w:rPr>
                <w:rFonts w:ascii="Calibri" w:eastAsia="Times New Roman" w:hAnsi="Calibri" w:cs="Times New Roman"/>
                <w:color w:val="000000"/>
                <w:sz w:val="18"/>
                <w:szCs w:val="18"/>
                <w:lang w:val="en-US" w:eastAsia="ru-RU"/>
              </w:rPr>
              <w:t xml:space="preserve"> </w:t>
            </w:r>
            <w:r w:rsidRPr="00AC5B6D">
              <w:rPr>
                <w:rFonts w:ascii="Calibri" w:eastAsia="Times New Roman" w:hAnsi="Calibri" w:cs="Times New Roman"/>
                <w:color w:val="000000"/>
                <w:sz w:val="18"/>
                <w:szCs w:val="18"/>
                <w:lang w:val="en-US" w:eastAsia="ru-RU"/>
              </w:rPr>
              <w:t>muscle</w:t>
            </w:r>
            <w:r w:rsidRPr="002B7C56">
              <w:rPr>
                <w:rFonts w:ascii="Calibri" w:eastAsia="Times New Roman" w:hAnsi="Calibri" w:cs="Times New Roman"/>
                <w:color w:val="000000"/>
                <w:sz w:val="18"/>
                <w:szCs w:val="18"/>
                <w:lang w:val="en-US" w:eastAsia="ru-RU"/>
              </w:rPr>
              <w:t xml:space="preserve"> </w:t>
            </w:r>
            <w:r w:rsidRPr="001227C8">
              <w:rPr>
                <w:rFonts w:ascii="Calibri" w:eastAsia="Times New Roman" w:hAnsi="Calibri" w:cs="Times New Roman"/>
                <w:color w:val="000000"/>
                <w:sz w:val="18"/>
                <w:szCs w:val="18"/>
                <w:lang w:val="en-US" w:eastAsia="ru-RU"/>
              </w:rPr>
              <w:t xml:space="preserve">with a stimulation of the </w:t>
            </w:r>
            <w:r>
              <w:rPr>
                <w:rFonts w:ascii="Calibri" w:eastAsia="Times New Roman" w:hAnsi="Calibri" w:cs="Times New Roman"/>
                <w:color w:val="000000"/>
                <w:sz w:val="18"/>
                <w:szCs w:val="18"/>
                <w:lang w:val="en-US" w:eastAsia="ru-RU"/>
              </w:rPr>
              <w:t>second</w:t>
            </w:r>
            <w:r w:rsidRPr="001227C8">
              <w:rPr>
                <w:rFonts w:ascii="Calibri" w:eastAsia="Times New Roman" w:hAnsi="Calibri" w:cs="Times New Roman"/>
                <w:color w:val="000000"/>
                <w:sz w:val="18"/>
                <w:szCs w:val="18"/>
                <w:lang w:val="en-US" w:eastAsia="ru-RU"/>
              </w:rPr>
              <w:t>ary receptor field</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1189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1247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1291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1193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1188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1100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552</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613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689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1135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1044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1013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785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530</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705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783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1360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1282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609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313</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317</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864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731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938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727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641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647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203</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221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404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485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361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348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1000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545</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955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829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375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310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297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500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150</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157</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1311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1511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1022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953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540</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925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1157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504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744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245</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250</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982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848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761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690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679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1006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549</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407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1488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1408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1404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759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280</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292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347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501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422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916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552</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708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642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827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707</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721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456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328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1281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467</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498</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364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242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1137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1042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1015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646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282</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301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506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366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601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1231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1153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1147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361</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343</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786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872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571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898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451</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1331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1225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1423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811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725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715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1091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450</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472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370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779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771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1183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520</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560</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1292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1507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718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633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1269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653</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704</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280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1005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917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901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385</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430</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1240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1134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1318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1337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1269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1251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686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366</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388</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694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664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602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589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1218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547</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597</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1258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984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891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877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1059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531</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554</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661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771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673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504</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524</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784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879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1255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1161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1160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605</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624</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1158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429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749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306</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315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407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821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1025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512</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1192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1288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1020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633</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718</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317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586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512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662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228</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261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1251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1123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1342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875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788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776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953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537</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569</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1366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1526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1431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1367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1338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1180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528</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533</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1190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1089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1277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355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369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1056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511</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699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1031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951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937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773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589</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632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lastRenderedPageBreak/>
              <w:t>505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372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570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1309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1217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1209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835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449</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473</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1194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1101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1085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496</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515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648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859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359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290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269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918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666</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704</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362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229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440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970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887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873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1108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746</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776</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596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486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679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330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682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265</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275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748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634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641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529</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1258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1118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1328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1198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1103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1091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460</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1190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1391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1115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1053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1050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664</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699</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1041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905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1135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1082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1021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1005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748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446</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494</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286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508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458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360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348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1159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699</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761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825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722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915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514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404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925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621</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672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728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1462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1394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1377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1192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756</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815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571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423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643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1022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926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792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279</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291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953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810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1045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395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615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281</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298</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424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284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486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612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517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1198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807</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845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374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225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1057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981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972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1207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783</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810</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657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514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730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1416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1356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1330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712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398</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406</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1390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1278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1486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1320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1237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269</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285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1219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1086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1292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874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857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1203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868</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890</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1276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1150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1352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507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427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535</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566</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734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636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798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1042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946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941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1180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679</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695</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1455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1527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977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904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892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751</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448</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459</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337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1477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1399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1357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840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493</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511</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627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479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699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1066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989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431</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462</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827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685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894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1392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1335</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1328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767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525</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559</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608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466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697</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922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850</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859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963</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598</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619</w:t>
            </w:r>
          </w:p>
        </w:tc>
      </w:tr>
      <w:tr w:rsidR="002B7C56" w:rsidRPr="00C63F7A" w:rsidTr="00764F88">
        <w:trPr>
          <w:divId w:val="438842312"/>
          <w:trHeight w:val="300"/>
          <w:jc w:val="center"/>
        </w:trPr>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548</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606</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1204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1139</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1132</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674</w:t>
            </w:r>
          </w:p>
        </w:tc>
        <w:tc>
          <w:tcPr>
            <w:tcW w:w="980"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414</w:t>
            </w:r>
          </w:p>
        </w:tc>
        <w:tc>
          <w:tcPr>
            <w:tcW w:w="981" w:type="dxa"/>
            <w:shd w:val="clear" w:color="000000" w:fill="FFFFFF"/>
            <w:noWrap/>
            <w:vAlign w:val="bottom"/>
            <w:hideMark/>
          </w:tcPr>
          <w:p w:rsidR="002B7C56" w:rsidRPr="00C63F7A" w:rsidRDefault="002B7C56" w:rsidP="002B7C56">
            <w:pPr>
              <w:spacing w:after="0" w:line="240" w:lineRule="auto"/>
              <w:jc w:val="right"/>
              <w:rPr>
                <w:rFonts w:ascii="Calibri" w:eastAsia="Times New Roman" w:hAnsi="Calibri" w:cs="Times New Roman"/>
                <w:color w:val="000000"/>
                <w:lang w:eastAsia="ru-RU"/>
              </w:rPr>
            </w:pPr>
            <w:r w:rsidRPr="00C63F7A">
              <w:rPr>
                <w:rFonts w:ascii="Calibri" w:eastAsia="Times New Roman" w:hAnsi="Calibri" w:cs="Times New Roman"/>
                <w:color w:val="000000"/>
                <w:lang w:eastAsia="ru-RU"/>
              </w:rPr>
              <w:t>431</w:t>
            </w:r>
          </w:p>
        </w:tc>
      </w:tr>
    </w:tbl>
    <w:p w:rsidR="0074368A" w:rsidRPr="0049397A" w:rsidRDefault="002160D0"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eastAsia="ru-RU"/>
        </w:rPr>
        <w:fldChar w:fldCharType="end"/>
      </w:r>
      <w:r w:rsidR="008C4DC7" w:rsidRPr="0074368A">
        <w:rPr>
          <w:rFonts w:ascii="Times New Roman" w:eastAsia="Times New Roman" w:hAnsi="Times New Roman" w:cs="Times New Roman"/>
          <w:sz w:val="28"/>
          <w:szCs w:val="28"/>
          <w:lang w:val="en-US" w:eastAsia="ru-RU"/>
        </w:rPr>
        <w:t xml:space="preserve"> </w:t>
      </w:r>
      <w:r w:rsidRPr="0057348A">
        <w:rPr>
          <w:rFonts w:ascii="Times New Roman" w:eastAsia="Times New Roman" w:hAnsi="Times New Roman" w:cs="Times New Roman"/>
          <w:noProof/>
          <w:sz w:val="28"/>
          <w:szCs w:val="28"/>
          <w:lang w:eastAsia="ru-RU"/>
        </w:rPr>
        <w:drawing>
          <wp:inline distT="0" distB="0" distL="0" distR="0" wp14:anchorId="2D0B2415" wp14:editId="1F73F2BA">
            <wp:extent cx="6480175" cy="3087039"/>
            <wp:effectExtent l="0" t="0" r="15875" b="18415"/>
            <wp:docPr id="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4368A" w:rsidRPr="0074368A">
        <w:rPr>
          <w:rFonts w:ascii="Times New Roman" w:eastAsia="Times New Roman" w:hAnsi="Times New Roman" w:cs="Times New Roman"/>
          <w:sz w:val="28"/>
          <w:szCs w:val="28"/>
          <w:lang w:val="en"/>
        </w:rPr>
        <w:t xml:space="preserve"> </w:t>
      </w:r>
      <w:r w:rsidR="0074368A">
        <w:rPr>
          <w:rFonts w:ascii="Times New Roman" w:eastAsia="Times New Roman" w:hAnsi="Times New Roman" w:cs="Times New Roman"/>
          <w:sz w:val="28"/>
          <w:szCs w:val="28"/>
          <w:lang w:val="en"/>
        </w:rPr>
        <w:t xml:space="preserve">The obtained data indicate that: </w:t>
      </w:r>
    </w:p>
    <w:p w:rsidR="0074368A" w:rsidRPr="0049397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during stimulation of a primary receptor field, a decline of the interferential parameters of the muscle and the index muscle associated with the primary receptor field and associated with the secondary receptor field is observed.</w:t>
      </w:r>
    </w:p>
    <w:p w:rsidR="0074368A" w:rsidRPr="0049397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lastRenderedPageBreak/>
        <w:t>- during stimulation of a secondary receptor field, an increase of the interferential parameters associated with the primary receptor field is observed, while those associated with the secondary receptor field of the index muscle decline.</w:t>
      </w:r>
    </w:p>
    <w:p w:rsidR="0074368A" w:rsidRPr="0049397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  In order to assess the status of the central nociceptive and antinociceptive mechanisms, a method of exteroceptive suppression was used with the assessment of the fi</w:t>
      </w:r>
      <w:r w:rsidR="003602CF">
        <w:rPr>
          <w:rFonts w:ascii="Times New Roman" w:eastAsia="Times New Roman" w:hAnsi="Times New Roman" w:cs="Times New Roman"/>
          <w:sz w:val="28"/>
          <w:szCs w:val="28"/>
          <w:lang w:val="en"/>
        </w:rPr>
        <w:t>r</w:t>
      </w:r>
      <w:r>
        <w:rPr>
          <w:rFonts w:ascii="Times New Roman" w:eastAsia="Times New Roman" w:hAnsi="Times New Roman" w:cs="Times New Roman"/>
          <w:sz w:val="28"/>
          <w:szCs w:val="28"/>
          <w:lang w:val="en"/>
        </w:rPr>
        <w:t xml:space="preserve">st and the second period of exteroceptive suppression (periods of suppression of voluntary muscle activity, respectively) before and after P-DTR treatment respectively. </w:t>
      </w:r>
    </w:p>
    <w:p w:rsidR="0074368A" w:rsidRPr="0049397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p>
    <w:p w:rsidR="0074368A" w:rsidRPr="0049397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The obtained data:</w:t>
      </w:r>
    </w:p>
    <w:tbl>
      <w:tblPr>
        <w:tblStyle w:val="a6"/>
        <w:tblW w:w="0" w:type="auto"/>
        <w:tblLook w:val="04A0" w:firstRow="1" w:lastRow="0" w:firstColumn="1" w:lastColumn="0" w:noHBand="0" w:noVBand="1"/>
      </w:tblPr>
      <w:tblGrid>
        <w:gridCol w:w="1077"/>
        <w:gridCol w:w="1077"/>
        <w:gridCol w:w="1077"/>
        <w:gridCol w:w="1077"/>
      </w:tblGrid>
      <w:tr w:rsidR="000B0615" w:rsidRPr="0053234D" w:rsidTr="000B0615">
        <w:trPr>
          <w:cantSplit/>
          <w:trHeight w:val="1206"/>
        </w:trPr>
        <w:tc>
          <w:tcPr>
            <w:tcW w:w="1077" w:type="dxa"/>
            <w:noWrap/>
            <w:textDirection w:val="btLr"/>
            <w:hideMark/>
          </w:tcPr>
          <w:p w:rsidR="000B0615" w:rsidRPr="0053234D" w:rsidRDefault="000B0615" w:rsidP="000B0615">
            <w:pPr>
              <w:widowControl w:val="0"/>
              <w:autoSpaceDE w:val="0"/>
              <w:autoSpaceDN w:val="0"/>
              <w:ind w:left="113" w:righ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ES</w:t>
            </w:r>
            <w:r w:rsidRPr="0053234D">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val="en-US" w:eastAsia="ru-RU"/>
              </w:rPr>
              <w:t xml:space="preserve"> before P-DTR</w:t>
            </w:r>
          </w:p>
        </w:tc>
        <w:tc>
          <w:tcPr>
            <w:tcW w:w="1077" w:type="dxa"/>
            <w:noWrap/>
            <w:textDirection w:val="btLr"/>
            <w:hideMark/>
          </w:tcPr>
          <w:p w:rsidR="000B0615" w:rsidRPr="0053234D" w:rsidRDefault="000B0615" w:rsidP="000B0615">
            <w:pPr>
              <w:widowControl w:val="0"/>
              <w:autoSpaceDE w:val="0"/>
              <w:autoSpaceDN w:val="0"/>
              <w:ind w:left="113" w:righ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ES</w:t>
            </w:r>
            <w:r w:rsidRPr="0053234D">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val="en-US" w:eastAsia="ru-RU"/>
              </w:rPr>
              <w:t xml:space="preserve"> after P</w:t>
            </w:r>
            <w:r>
              <w:rPr>
                <w:rFonts w:ascii="Times New Roman" w:eastAsia="Times New Roman" w:hAnsi="Times New Roman" w:cs="Times New Roman"/>
                <w:sz w:val="28"/>
                <w:szCs w:val="28"/>
                <w:lang w:val="en-US" w:eastAsia="ru-RU"/>
              </w:rPr>
              <w:noBreakHyphen/>
              <w:t>DTR</w:t>
            </w:r>
          </w:p>
        </w:tc>
        <w:tc>
          <w:tcPr>
            <w:tcW w:w="1077" w:type="dxa"/>
            <w:noWrap/>
            <w:textDirection w:val="btLr"/>
            <w:hideMark/>
          </w:tcPr>
          <w:p w:rsidR="000B0615" w:rsidRPr="0053234D" w:rsidRDefault="000B0615" w:rsidP="000B0615">
            <w:pPr>
              <w:widowControl w:val="0"/>
              <w:autoSpaceDE w:val="0"/>
              <w:autoSpaceDN w:val="0"/>
              <w:ind w:left="113" w:righ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ES</w:t>
            </w:r>
            <w:r w:rsidRPr="005323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2 before P-DTR</w:t>
            </w:r>
          </w:p>
        </w:tc>
        <w:tc>
          <w:tcPr>
            <w:tcW w:w="1077" w:type="dxa"/>
            <w:noWrap/>
            <w:textDirection w:val="btLr"/>
            <w:hideMark/>
          </w:tcPr>
          <w:p w:rsidR="000B0615" w:rsidRPr="0053234D" w:rsidRDefault="000B0615" w:rsidP="000B0615">
            <w:pPr>
              <w:widowControl w:val="0"/>
              <w:autoSpaceDE w:val="0"/>
              <w:autoSpaceDN w:val="0"/>
              <w:ind w:left="113" w:righ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ES</w:t>
            </w:r>
            <w:r w:rsidRPr="005323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2 after P</w:t>
            </w:r>
            <w:r>
              <w:rPr>
                <w:rFonts w:ascii="Times New Roman" w:eastAsia="Times New Roman" w:hAnsi="Times New Roman" w:cs="Times New Roman"/>
                <w:sz w:val="28"/>
                <w:szCs w:val="28"/>
                <w:lang w:val="en-US" w:eastAsia="ru-RU"/>
              </w:rPr>
              <w:noBreakHyphen/>
              <w:t>DTR</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45,8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41,9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41,8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50,9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41,6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48,8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24,1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46,7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25,4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50,6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43,9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52,5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48,9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8,3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45,3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50,2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lastRenderedPageBreak/>
              <w:t>15,4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28,1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28,5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24,7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24,2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25,9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41,3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46,9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24,5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43,8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50,3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45,6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40,7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9,6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52,5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23,4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54,4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8,9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50,5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52,7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43,7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27,3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41,7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48,4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24,9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lastRenderedPageBreak/>
              <w:t>14,1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24,9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52,9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48,5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45,2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46,2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25,9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53,6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54,1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9,9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27,3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23,2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52,4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43,8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40,6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23,8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41,5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45,2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41,8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46,3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23,5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40,8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48,6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54,2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27,8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28,1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26,6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46,1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28,8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lastRenderedPageBreak/>
              <w:t>13,7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53,8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27,4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46,9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37,7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48,7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40,2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27,6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34,9</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25,9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34,1</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12,3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30,7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28,9</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35,6</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43,2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32,7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25,7</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19,2</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31,2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38,7</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16,4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46,5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40,5</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11,1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45,4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51,4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42,3</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19,3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14,5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33,2</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18,6</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15,1</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39,3</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25,8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21,5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18,8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49,4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36,8</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13,5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10,4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47,8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34,4</w:t>
            </w:r>
          </w:p>
        </w:tc>
      </w:tr>
      <w:tr w:rsidR="0053234D" w:rsidRPr="0053234D" w:rsidTr="0053234D">
        <w:trPr>
          <w:trHeight w:val="255"/>
        </w:trPr>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20,5</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17,8</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42,4</w:t>
            </w:r>
          </w:p>
        </w:tc>
        <w:tc>
          <w:tcPr>
            <w:tcW w:w="1077" w:type="dxa"/>
            <w:noWrap/>
            <w:hideMark/>
          </w:tcPr>
          <w:p w:rsidR="0053234D" w:rsidRPr="0053234D" w:rsidRDefault="0053234D" w:rsidP="0053234D">
            <w:pPr>
              <w:widowControl w:val="0"/>
              <w:autoSpaceDE w:val="0"/>
              <w:autoSpaceDN w:val="0"/>
              <w:jc w:val="both"/>
              <w:rPr>
                <w:rFonts w:ascii="Times New Roman" w:eastAsia="Times New Roman" w:hAnsi="Times New Roman" w:cs="Times New Roman"/>
                <w:sz w:val="28"/>
                <w:szCs w:val="28"/>
                <w:lang w:eastAsia="ru-RU"/>
              </w:rPr>
            </w:pPr>
            <w:r w:rsidRPr="0053234D">
              <w:rPr>
                <w:rFonts w:ascii="Times New Roman" w:eastAsia="Times New Roman" w:hAnsi="Times New Roman" w:cs="Times New Roman"/>
                <w:sz w:val="28"/>
                <w:szCs w:val="28"/>
                <w:lang w:eastAsia="ru-RU"/>
              </w:rPr>
              <w:t>29,2</w:t>
            </w:r>
          </w:p>
        </w:tc>
      </w:tr>
    </w:tbl>
    <w:p w:rsidR="0053234D" w:rsidRDefault="0053234D" w:rsidP="004114D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4368A" w:rsidRPr="0049397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The obtained data of ES1 and ES2 parameters were processed statistically using the signed G-test. The null hypothesis was the randomness of prevalence of a typical direction in the studies, the alternative hypothesis was the regular prevalence of typical shifts. Pairwise comparison was performed for columns with ES1 duration before P-DTR treatment versus ES1 after P-DTR treatment; for columns with ES2 duration before P-DTR treatment versus ES2 after P-DTR treatment.  For all the samples of interferential EMG of the muscles, the G empirical was &lt; G critical, signifying the validity of the regular shift of parameters change.       </w:t>
      </w:r>
    </w:p>
    <w:p w:rsidR="008C4DC7" w:rsidRDefault="000C20D2" w:rsidP="004114D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45F4554A" wp14:editId="4978DE3C">
            <wp:extent cx="4600575" cy="24860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20D2" w:rsidRDefault="000C20D2" w:rsidP="004114D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74368A">
        <w:rPr>
          <w:rFonts w:ascii="Times New Roman" w:eastAsia="Times New Roman" w:hAnsi="Times New Roman" w:cs="Times New Roman"/>
          <w:sz w:val="28"/>
          <w:szCs w:val="28"/>
          <w:lang w:val="en-US" w:eastAsia="ru-RU"/>
        </w:rPr>
        <w:t>Assessment of ES parameters status before and after P-DTR treatment has shown a trend to ES1 and ES2 parameters shortening, suggesting a decrease in inhibitory activity of interneurons at the brain stem level that provide the nociceptive reactions.  It suggests that the use of P-DTR method influences not only the peripheral pain component, but also the central nociceptive structures, that clinically promotes a decrease of pain syndrome.</w:t>
      </w: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74368A">
        <w:rPr>
          <w:rFonts w:ascii="Times New Roman" w:eastAsia="Times New Roman" w:hAnsi="Times New Roman" w:cs="Times New Roman"/>
          <w:sz w:val="28"/>
          <w:szCs w:val="28"/>
          <w:lang w:val="en-US" w:eastAsia="ru-RU"/>
        </w:rPr>
        <w:t xml:space="preserve">  </w:t>
      </w:r>
    </w:p>
    <w:p w:rsidR="0074368A" w:rsidRPr="0074368A"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74368A">
        <w:rPr>
          <w:rFonts w:ascii="Times New Roman" w:eastAsia="Times New Roman" w:hAnsi="Times New Roman" w:cs="Times New Roman"/>
          <w:sz w:val="28"/>
          <w:szCs w:val="28"/>
          <w:lang w:val="en-US" w:eastAsia="ru-RU"/>
        </w:rPr>
        <w:t xml:space="preserve"> In order to assess the status of the skin-vegetative reactions of the patient, the evoked skin-sympathetic potential of upper and lower extremities was used; the calculations employed the amplitude of the second ESSP in mV and latency in seconds (the time from the start of the stimulus </w:t>
      </w:r>
      <w:r w:rsidR="000B0615" w:rsidRPr="0074368A">
        <w:rPr>
          <w:rFonts w:ascii="Times New Roman" w:eastAsia="Times New Roman" w:hAnsi="Times New Roman" w:cs="Times New Roman"/>
          <w:sz w:val="28"/>
          <w:szCs w:val="28"/>
          <w:lang w:val="en-US" w:eastAsia="ru-RU"/>
        </w:rPr>
        <w:t>until</w:t>
      </w:r>
      <w:r w:rsidRPr="0074368A">
        <w:rPr>
          <w:rFonts w:ascii="Times New Roman" w:eastAsia="Times New Roman" w:hAnsi="Times New Roman" w:cs="Times New Roman"/>
          <w:sz w:val="28"/>
          <w:szCs w:val="28"/>
          <w:lang w:val="en-US" w:eastAsia="ru-RU"/>
        </w:rPr>
        <w:t xml:space="preserve"> vegetative response) before and after </w:t>
      </w:r>
      <w:r w:rsidR="00DF7C04" w:rsidRPr="0074368A">
        <w:rPr>
          <w:rFonts w:ascii="Times New Roman" w:eastAsia="Times New Roman" w:hAnsi="Times New Roman" w:cs="Times New Roman"/>
          <w:sz w:val="28"/>
          <w:szCs w:val="28"/>
          <w:lang w:val="en-US" w:eastAsia="ru-RU"/>
        </w:rPr>
        <w:t>P-DTR treatment</w:t>
      </w:r>
      <w:r w:rsidRPr="0074368A">
        <w:rPr>
          <w:rFonts w:ascii="Times New Roman" w:eastAsia="Times New Roman" w:hAnsi="Times New Roman" w:cs="Times New Roman"/>
          <w:sz w:val="28"/>
          <w:szCs w:val="28"/>
          <w:lang w:val="en-US" w:eastAsia="ru-RU"/>
        </w:rPr>
        <w:t>, respectively.</w:t>
      </w:r>
    </w:p>
    <w:p w:rsidR="00461BAF" w:rsidRDefault="0074368A" w:rsidP="0074368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r w:rsidRPr="0074368A">
        <w:rPr>
          <w:rFonts w:ascii="Times New Roman" w:eastAsia="Times New Roman" w:hAnsi="Times New Roman" w:cs="Times New Roman"/>
          <w:sz w:val="28"/>
          <w:szCs w:val="28"/>
          <w:lang w:val="en-US" w:eastAsia="ru-RU"/>
        </w:rPr>
        <w:t>The following results were obtained:</w:t>
      </w:r>
    </w:p>
    <w:p w:rsidR="000B0615" w:rsidRPr="0074368A" w:rsidRDefault="000B0615" w:rsidP="0074368A">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p>
    <w:tbl>
      <w:tblPr>
        <w:tblStyle w:val="a6"/>
        <w:tblW w:w="0" w:type="auto"/>
        <w:tblLayout w:type="fixed"/>
        <w:tblLook w:val="04A0" w:firstRow="1" w:lastRow="0" w:firstColumn="1" w:lastColumn="0" w:noHBand="0" w:noVBand="1"/>
      </w:tblPr>
      <w:tblGrid>
        <w:gridCol w:w="1515"/>
        <w:gridCol w:w="1516"/>
        <w:gridCol w:w="1515"/>
        <w:gridCol w:w="1516"/>
      </w:tblGrid>
      <w:tr w:rsidR="00764F88" w:rsidRPr="00261C4F" w:rsidTr="00764F88">
        <w:trPr>
          <w:cantSplit/>
          <w:trHeight w:val="1134"/>
        </w:trPr>
        <w:tc>
          <w:tcPr>
            <w:tcW w:w="1515" w:type="dxa"/>
            <w:noWrap/>
          </w:tcPr>
          <w:p w:rsidR="00764F88" w:rsidRPr="00DF7C04" w:rsidRDefault="00764F88" w:rsidP="00764F88">
            <w:pPr>
              <w:widowControl w:val="0"/>
              <w:autoSpaceDE w:val="0"/>
              <w:autoSpaceDN w:val="0"/>
              <w:jc w:val="both"/>
              <w:rPr>
                <w:rFonts w:ascii="Times New Roman" w:eastAsia="Times New Roman" w:hAnsi="Times New Roman" w:cs="Times New Roman"/>
                <w:sz w:val="28"/>
                <w:szCs w:val="28"/>
                <w:lang w:val="en-US" w:eastAsia="ru-RU"/>
              </w:rPr>
            </w:pPr>
            <w:r w:rsidRPr="00764F88">
              <w:rPr>
                <w:rFonts w:ascii="Times New Roman" w:eastAsia="Times New Roman" w:hAnsi="Times New Roman" w:cs="Times New Roman"/>
                <w:sz w:val="28"/>
                <w:szCs w:val="28"/>
                <w:lang w:eastAsia="ru-RU"/>
              </w:rPr>
              <w:t>А</w:t>
            </w:r>
            <w:r w:rsidRPr="00DF7C04">
              <w:rPr>
                <w:rFonts w:ascii="Times New Roman" w:eastAsia="Times New Roman" w:hAnsi="Times New Roman" w:cs="Times New Roman"/>
                <w:sz w:val="28"/>
                <w:szCs w:val="28"/>
                <w:lang w:val="en-US" w:eastAsia="ru-RU"/>
              </w:rPr>
              <w:t xml:space="preserve">2 </w:t>
            </w:r>
            <w:r w:rsidR="00DF7C04" w:rsidRPr="0074368A">
              <w:rPr>
                <w:rFonts w:ascii="Times New Roman" w:eastAsia="Times New Roman" w:hAnsi="Times New Roman" w:cs="Times New Roman"/>
                <w:sz w:val="28"/>
                <w:szCs w:val="28"/>
                <w:lang w:val="en-US" w:eastAsia="ru-RU"/>
              </w:rPr>
              <w:t>before P-DTR treatment</w:t>
            </w:r>
          </w:p>
        </w:tc>
        <w:tc>
          <w:tcPr>
            <w:tcW w:w="1516" w:type="dxa"/>
            <w:noWrap/>
          </w:tcPr>
          <w:p w:rsidR="00764F88" w:rsidRPr="00DF7C04" w:rsidRDefault="00764F88" w:rsidP="00764F88">
            <w:pPr>
              <w:widowControl w:val="0"/>
              <w:autoSpaceDE w:val="0"/>
              <w:autoSpaceDN w:val="0"/>
              <w:jc w:val="both"/>
              <w:rPr>
                <w:rFonts w:ascii="Times New Roman" w:eastAsia="Times New Roman" w:hAnsi="Times New Roman" w:cs="Times New Roman"/>
                <w:sz w:val="28"/>
                <w:szCs w:val="28"/>
                <w:lang w:val="en-US" w:eastAsia="ru-RU"/>
              </w:rPr>
            </w:pPr>
            <w:r w:rsidRPr="00764F88">
              <w:rPr>
                <w:rFonts w:ascii="Times New Roman" w:eastAsia="Times New Roman" w:hAnsi="Times New Roman" w:cs="Times New Roman"/>
                <w:sz w:val="28"/>
                <w:szCs w:val="28"/>
                <w:lang w:eastAsia="ru-RU"/>
              </w:rPr>
              <w:t>А</w:t>
            </w:r>
            <w:r w:rsidRPr="00DF7C04">
              <w:rPr>
                <w:rFonts w:ascii="Times New Roman" w:eastAsia="Times New Roman" w:hAnsi="Times New Roman" w:cs="Times New Roman"/>
                <w:sz w:val="28"/>
                <w:szCs w:val="28"/>
                <w:lang w:val="en-US" w:eastAsia="ru-RU"/>
              </w:rPr>
              <w:t xml:space="preserve">2 </w:t>
            </w:r>
            <w:r w:rsidR="00DF7C04" w:rsidRPr="0074368A">
              <w:rPr>
                <w:rFonts w:ascii="Times New Roman" w:eastAsia="Times New Roman" w:hAnsi="Times New Roman" w:cs="Times New Roman"/>
                <w:sz w:val="28"/>
                <w:szCs w:val="28"/>
                <w:lang w:val="en-US" w:eastAsia="ru-RU"/>
              </w:rPr>
              <w:t>after P-DTR treatment</w:t>
            </w:r>
          </w:p>
        </w:tc>
        <w:tc>
          <w:tcPr>
            <w:tcW w:w="1515" w:type="dxa"/>
            <w:noWrap/>
          </w:tcPr>
          <w:p w:rsidR="00764F88" w:rsidRPr="00DF7C04" w:rsidRDefault="00DF7C04" w:rsidP="00DF7C04">
            <w:pPr>
              <w:widowControl w:val="0"/>
              <w:autoSpaceDE w:val="0"/>
              <w:autoSpaceDN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w:t>
            </w:r>
            <w:r w:rsidRPr="0074368A">
              <w:rPr>
                <w:rFonts w:ascii="Times New Roman" w:eastAsia="Times New Roman" w:hAnsi="Times New Roman" w:cs="Times New Roman"/>
                <w:sz w:val="28"/>
                <w:szCs w:val="28"/>
                <w:lang w:val="en-US" w:eastAsia="ru-RU"/>
              </w:rPr>
              <w:t>atency before P</w:t>
            </w:r>
            <w:r>
              <w:rPr>
                <w:rFonts w:ascii="Times New Roman" w:eastAsia="Times New Roman" w:hAnsi="Times New Roman" w:cs="Times New Roman"/>
                <w:sz w:val="28"/>
                <w:szCs w:val="28"/>
                <w:lang w:val="en-US" w:eastAsia="ru-RU"/>
              </w:rPr>
              <w:noBreakHyphen/>
            </w:r>
            <w:r w:rsidRPr="0074368A">
              <w:rPr>
                <w:rFonts w:ascii="Times New Roman" w:eastAsia="Times New Roman" w:hAnsi="Times New Roman" w:cs="Times New Roman"/>
                <w:sz w:val="28"/>
                <w:szCs w:val="28"/>
                <w:lang w:val="en-US" w:eastAsia="ru-RU"/>
              </w:rPr>
              <w:t>DTR treatment</w:t>
            </w:r>
          </w:p>
        </w:tc>
        <w:tc>
          <w:tcPr>
            <w:tcW w:w="1516" w:type="dxa"/>
            <w:noWrap/>
          </w:tcPr>
          <w:p w:rsidR="00764F88" w:rsidRPr="00DF7C04" w:rsidRDefault="00DF7C04" w:rsidP="00DF7C04">
            <w:pPr>
              <w:widowControl w:val="0"/>
              <w:autoSpaceDE w:val="0"/>
              <w:autoSpaceDN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w:t>
            </w:r>
            <w:r w:rsidRPr="0074368A">
              <w:rPr>
                <w:rFonts w:ascii="Times New Roman" w:eastAsia="Times New Roman" w:hAnsi="Times New Roman" w:cs="Times New Roman"/>
                <w:sz w:val="28"/>
                <w:szCs w:val="28"/>
                <w:lang w:val="en-US" w:eastAsia="ru-RU"/>
              </w:rPr>
              <w:t>atency after P</w:t>
            </w:r>
            <w:r>
              <w:rPr>
                <w:rFonts w:ascii="Times New Roman" w:eastAsia="Times New Roman" w:hAnsi="Times New Roman" w:cs="Times New Roman"/>
                <w:sz w:val="28"/>
                <w:szCs w:val="28"/>
                <w:lang w:val="en-US" w:eastAsia="ru-RU"/>
              </w:rPr>
              <w:noBreakHyphen/>
            </w:r>
            <w:r w:rsidRPr="0074368A">
              <w:rPr>
                <w:rFonts w:ascii="Times New Roman" w:eastAsia="Times New Roman" w:hAnsi="Times New Roman" w:cs="Times New Roman"/>
                <w:sz w:val="28"/>
                <w:szCs w:val="28"/>
                <w:lang w:val="en-US" w:eastAsia="ru-RU"/>
              </w:rPr>
              <w:t>DTR</w:t>
            </w:r>
            <w:r w:rsidRPr="00DF7C04">
              <w:rPr>
                <w:rFonts w:ascii="Times New Roman" w:eastAsia="Times New Roman" w:hAnsi="Times New Roman" w:cs="Times New Roman"/>
                <w:sz w:val="28"/>
                <w:szCs w:val="28"/>
                <w:lang w:val="en-US" w:eastAsia="ru-RU"/>
              </w:rPr>
              <w:t xml:space="preserve"> </w:t>
            </w:r>
            <w:r w:rsidRPr="0074368A">
              <w:rPr>
                <w:rFonts w:ascii="Times New Roman" w:eastAsia="Times New Roman" w:hAnsi="Times New Roman" w:cs="Times New Roman"/>
                <w:sz w:val="28"/>
                <w:szCs w:val="28"/>
                <w:lang w:val="en-US" w:eastAsia="ru-RU"/>
              </w:rPr>
              <w:t>treatment</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3,62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3,64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lastRenderedPageBreak/>
              <w:t>2,97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2,84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2,75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2,83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3,63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3,98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1,89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3,67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2,86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2,89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lastRenderedPageBreak/>
              <w:t>3,38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1,81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2,88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1,86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3,65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3,67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1,39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lastRenderedPageBreak/>
              <w:t>3,15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2,84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2,84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2,96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1,70</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3,39</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1,61</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1,74</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1,72</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1,58</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3,06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3,15</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1,44</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1,67</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3,51</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3,57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3,33</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3,46</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3,21</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3,13</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1,79</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1,73</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3,22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3,17</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1,57</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1,60</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3,32</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3,18</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1,65</w:t>
            </w:r>
          </w:p>
        </w:tc>
      </w:tr>
      <w:tr w:rsidR="00764F88" w:rsidRPr="00764F88" w:rsidTr="00764F88">
        <w:trPr>
          <w:trHeight w:val="255"/>
        </w:trPr>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3,38</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3,34</w:t>
            </w:r>
          </w:p>
        </w:tc>
        <w:tc>
          <w:tcPr>
            <w:tcW w:w="1515"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1,46</w:t>
            </w:r>
          </w:p>
        </w:tc>
        <w:tc>
          <w:tcPr>
            <w:tcW w:w="1516" w:type="dxa"/>
            <w:noWrap/>
            <w:hideMark/>
          </w:tcPr>
          <w:p w:rsidR="00764F88" w:rsidRPr="00764F88" w:rsidRDefault="00764F88" w:rsidP="00764F88">
            <w:pPr>
              <w:widowControl w:val="0"/>
              <w:autoSpaceDE w:val="0"/>
              <w:autoSpaceDN w:val="0"/>
              <w:jc w:val="both"/>
              <w:rPr>
                <w:rFonts w:ascii="Times New Roman" w:eastAsia="Times New Roman" w:hAnsi="Times New Roman" w:cs="Times New Roman"/>
                <w:sz w:val="28"/>
                <w:szCs w:val="28"/>
                <w:lang w:eastAsia="ru-RU"/>
              </w:rPr>
            </w:pPr>
            <w:r w:rsidRPr="00764F88">
              <w:rPr>
                <w:rFonts w:ascii="Times New Roman" w:eastAsia="Times New Roman" w:hAnsi="Times New Roman" w:cs="Times New Roman"/>
                <w:sz w:val="28"/>
                <w:szCs w:val="28"/>
                <w:lang w:eastAsia="ru-RU"/>
              </w:rPr>
              <w:t>1,43</w:t>
            </w:r>
          </w:p>
        </w:tc>
      </w:tr>
    </w:tbl>
    <w:p w:rsidR="00764F88" w:rsidRPr="004114DA" w:rsidRDefault="00764F88" w:rsidP="004114D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6352" w:rsidRPr="0049397A" w:rsidRDefault="00DE6352" w:rsidP="00DE6352">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The obtained numerical results of electroneuromyography studies were </w:t>
      </w:r>
      <w:r w:rsidR="00DF7C04">
        <w:rPr>
          <w:rFonts w:ascii="Times New Roman" w:eastAsia="Times New Roman" w:hAnsi="Times New Roman" w:cs="Times New Roman"/>
          <w:sz w:val="28"/>
          <w:szCs w:val="28"/>
          <w:lang w:val="en"/>
        </w:rPr>
        <w:t>analyzed</w:t>
      </w:r>
      <w:r>
        <w:rPr>
          <w:rFonts w:ascii="Times New Roman" w:eastAsia="Times New Roman" w:hAnsi="Times New Roman" w:cs="Times New Roman"/>
          <w:sz w:val="28"/>
          <w:szCs w:val="28"/>
          <w:lang w:val="en"/>
        </w:rPr>
        <w:t xml:space="preserve"> by statistical processing using signed G-test. The null hypothesis was the randomness of prevalence of a typical direction in the studies, the alternative hypothesis was the regular prevalence of typical shifts.  No significant changes of ESSP parameters were obtained. </w:t>
      </w:r>
    </w:p>
    <w:p w:rsidR="00DE6352" w:rsidRPr="0049397A" w:rsidRDefault="00DE6352" w:rsidP="00DE6352">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    Based on the results of analysis of evoked skin-sympathetic potential (ESSP), the changes are oppositely directed, which is related to involvement or lack of involvement of vegetative nervous system in the pathological process of a given patient.</w:t>
      </w:r>
    </w:p>
    <w:p w:rsidR="00DE6352" w:rsidRPr="0049397A" w:rsidRDefault="00DE6352" w:rsidP="00DE6352">
      <w:pPr>
        <w:widowControl w:val="0"/>
        <w:autoSpaceDE w:val="0"/>
        <w:autoSpaceDN w:val="0"/>
        <w:spacing w:after="0" w:line="240" w:lineRule="auto"/>
        <w:jc w:val="both"/>
        <w:rPr>
          <w:rFonts w:ascii="Segoe UI" w:hAnsi="Segoe UI" w:cs="Segoe UI"/>
          <w:noProof/>
          <w:sz w:val="28"/>
          <w:szCs w:val="28"/>
          <w:lang w:val="en-US"/>
        </w:rPr>
      </w:pPr>
    </w:p>
    <w:p w:rsidR="00DE6352" w:rsidRDefault="00DE6352" w:rsidP="00DE6352">
      <w:pPr>
        <w:widowControl w:val="0"/>
        <w:autoSpaceDE w:val="0"/>
        <w:autoSpaceDN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Conclusion:</w:t>
      </w:r>
    </w:p>
    <w:p w:rsidR="00DF7C04" w:rsidRPr="0049397A" w:rsidRDefault="00DF7C04" w:rsidP="00DE6352">
      <w:pPr>
        <w:widowControl w:val="0"/>
        <w:autoSpaceDE w:val="0"/>
        <w:autoSpaceDN w:val="0"/>
        <w:spacing w:after="0" w:line="240" w:lineRule="auto"/>
        <w:jc w:val="both"/>
        <w:rPr>
          <w:rFonts w:ascii="Times New Roman" w:eastAsia="Times New Roman" w:hAnsi="Times New Roman" w:cs="Times New Roman"/>
          <w:b/>
          <w:sz w:val="28"/>
          <w:szCs w:val="28"/>
          <w:lang w:val="en-US"/>
        </w:rPr>
      </w:pPr>
    </w:p>
    <w:p w:rsidR="00DE6352" w:rsidRPr="0049397A" w:rsidRDefault="00DE6352" w:rsidP="00DE6352">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    Electroneuromyography study of the primary and secondary receptor field before P</w:t>
      </w:r>
      <w:r w:rsidR="00DF7C04">
        <w:rPr>
          <w:rFonts w:ascii="Times New Roman" w:eastAsia="Times New Roman" w:hAnsi="Times New Roman" w:cs="Times New Roman"/>
          <w:sz w:val="28"/>
          <w:szCs w:val="28"/>
          <w:lang w:val="en"/>
        </w:rPr>
        <w:noBreakHyphen/>
      </w:r>
      <w:r>
        <w:rPr>
          <w:rFonts w:ascii="Times New Roman" w:eastAsia="Times New Roman" w:hAnsi="Times New Roman" w:cs="Times New Roman"/>
          <w:sz w:val="28"/>
          <w:szCs w:val="28"/>
          <w:lang w:val="en"/>
        </w:rPr>
        <w:t>DTR treatment has shown their relationship, i.e., the signs of paired relationship of the receptor fields with a compensatory influence on each other were revealed for the first time. During the stimulation of a primary receptor field, a direct relationship is observed between the increase of the amplitudes of the obtained potentials of bioelectrical activity of the primary and secondary receptor fields; during the stimulation of the secondary receptor field an inverse relationship is observed between the increase in amplitudes of bioelectrical activity of the primary and secondary receptor fields, which also signifies the compensatory role of the secondary dysfunctional field towards the primary field.</w:t>
      </w:r>
    </w:p>
    <w:p w:rsidR="00DE6352" w:rsidRPr="0049397A" w:rsidRDefault="00DE6352" w:rsidP="00DE6352">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The influence of </w:t>
      </w:r>
      <w:r w:rsidR="00DF7C04">
        <w:rPr>
          <w:rFonts w:ascii="Times New Roman" w:eastAsia="Times New Roman" w:hAnsi="Times New Roman" w:cs="Times New Roman"/>
          <w:sz w:val="28"/>
          <w:szCs w:val="28"/>
          <w:lang w:val="en"/>
        </w:rPr>
        <w:t>that receptor field</w:t>
      </w:r>
      <w:r>
        <w:rPr>
          <w:rFonts w:ascii="Times New Roman" w:eastAsia="Times New Roman" w:hAnsi="Times New Roman" w:cs="Times New Roman"/>
          <w:sz w:val="28"/>
          <w:szCs w:val="28"/>
          <w:lang w:val="en"/>
        </w:rPr>
        <w:t xml:space="preserve"> on the indicator muscle (using UTL) and the influence of the receptor field on associated muscles were also studied. The clinical inhibition of muscles during a muscle test in P-DTR correlates with a decrease of EMG data.</w:t>
      </w:r>
    </w:p>
    <w:p w:rsidR="00DE6352" w:rsidRPr="0049397A" w:rsidRDefault="00DE6352" w:rsidP="00DE6352">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
        </w:rPr>
        <w:t xml:space="preserve">During the study of normal receptor fields of various body </w:t>
      </w:r>
      <w:r w:rsidR="00DF7C04">
        <w:rPr>
          <w:rFonts w:ascii="Times New Roman" w:eastAsia="Times New Roman" w:hAnsi="Times New Roman" w:cs="Times New Roman"/>
          <w:sz w:val="28"/>
          <w:szCs w:val="28"/>
          <w:lang w:val="en"/>
        </w:rPr>
        <w:t>areas</w:t>
      </w:r>
      <w:r>
        <w:rPr>
          <w:rFonts w:ascii="Times New Roman" w:eastAsia="Times New Roman" w:hAnsi="Times New Roman" w:cs="Times New Roman"/>
          <w:sz w:val="28"/>
          <w:szCs w:val="28"/>
          <w:lang w:val="en"/>
        </w:rPr>
        <w:t xml:space="preserve">, a tremendous parameters spread was observed. Additional studies are required to investigate the normal bioelectrical activity at various body areas of the patient. </w:t>
      </w:r>
    </w:p>
    <w:p w:rsidR="00DE6352" w:rsidRPr="0049397A" w:rsidRDefault="00DE6352" w:rsidP="00DE6352">
      <w:pPr>
        <w:rPr>
          <w:lang w:val="en-US"/>
        </w:rPr>
      </w:pPr>
      <w:r>
        <w:rPr>
          <w:rFonts w:ascii="Times New Roman" w:eastAsia="Times New Roman" w:hAnsi="Times New Roman" w:cs="Times New Roman"/>
          <w:sz w:val="28"/>
          <w:szCs w:val="28"/>
          <w:lang w:val="en"/>
        </w:rPr>
        <w:t>Assessment of exteroceptive suppression (ES) during P-DTR treatment has shown signs of shortening of ES1 and ES2 duration, suggesting a stabilization of inhibitory activity of the brain stem level interneurons providing the nociceptive reactions. This allows to suggest that the use of the method influences th</w:t>
      </w:r>
      <w:bookmarkStart w:id="0" w:name="_GoBack"/>
      <w:bookmarkEnd w:id="0"/>
      <w:r>
        <w:rPr>
          <w:rFonts w:ascii="Times New Roman" w:eastAsia="Times New Roman" w:hAnsi="Times New Roman" w:cs="Times New Roman"/>
          <w:sz w:val="28"/>
          <w:szCs w:val="28"/>
          <w:lang w:val="en"/>
        </w:rPr>
        <w:t xml:space="preserve">e central mechanisms of the pain syndrome and leads to normalization of the </w:t>
      </w:r>
      <w:r w:rsidR="00DF7C04">
        <w:rPr>
          <w:rFonts w:ascii="Times New Roman" w:eastAsia="Times New Roman" w:hAnsi="Times New Roman" w:cs="Times New Roman"/>
          <w:sz w:val="28"/>
          <w:szCs w:val="28"/>
          <w:lang w:val="en"/>
        </w:rPr>
        <w:t>interneuron</w:t>
      </w:r>
      <w:r>
        <w:rPr>
          <w:rFonts w:ascii="Times New Roman" w:eastAsia="Times New Roman" w:hAnsi="Times New Roman" w:cs="Times New Roman"/>
          <w:sz w:val="28"/>
          <w:szCs w:val="28"/>
          <w:lang w:val="en"/>
        </w:rPr>
        <w:t xml:space="preserve"> activity at the brain stem level.</w:t>
      </w:r>
    </w:p>
    <w:p w:rsidR="000D288B" w:rsidRPr="00DE6352" w:rsidRDefault="000D288B" w:rsidP="00DE6352">
      <w:pPr>
        <w:widowControl w:val="0"/>
        <w:autoSpaceDE w:val="0"/>
        <w:autoSpaceDN w:val="0"/>
        <w:spacing w:after="0" w:line="240" w:lineRule="auto"/>
        <w:jc w:val="both"/>
        <w:rPr>
          <w:rFonts w:ascii="Times New Roman" w:eastAsia="Times New Roman" w:hAnsi="Times New Roman" w:cs="Times New Roman"/>
          <w:sz w:val="28"/>
          <w:szCs w:val="28"/>
          <w:lang w:val="en-US" w:eastAsia="ru-RU"/>
        </w:rPr>
      </w:pPr>
    </w:p>
    <w:sectPr w:rsidR="000D288B" w:rsidRPr="00DE6352" w:rsidSect="0022532B">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5283C"/>
    <w:multiLevelType w:val="hybridMultilevel"/>
    <w:tmpl w:val="BA0E3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DC7200"/>
    <w:multiLevelType w:val="hybridMultilevel"/>
    <w:tmpl w:val="AD38C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0"/>
    <w:rsid w:val="00024EE1"/>
    <w:rsid w:val="00033A91"/>
    <w:rsid w:val="00046A58"/>
    <w:rsid w:val="00055DE6"/>
    <w:rsid w:val="000628D1"/>
    <w:rsid w:val="00067394"/>
    <w:rsid w:val="0006780C"/>
    <w:rsid w:val="00081136"/>
    <w:rsid w:val="000872FD"/>
    <w:rsid w:val="00090BB6"/>
    <w:rsid w:val="000A5A04"/>
    <w:rsid w:val="000A74A6"/>
    <w:rsid w:val="000B0615"/>
    <w:rsid w:val="000C20D2"/>
    <w:rsid w:val="000D288B"/>
    <w:rsid w:val="000F72D8"/>
    <w:rsid w:val="00113812"/>
    <w:rsid w:val="001164CB"/>
    <w:rsid w:val="00121BA4"/>
    <w:rsid w:val="001227C8"/>
    <w:rsid w:val="00150D51"/>
    <w:rsid w:val="0015479B"/>
    <w:rsid w:val="00167966"/>
    <w:rsid w:val="001723B9"/>
    <w:rsid w:val="001A5AA6"/>
    <w:rsid w:val="001B3B19"/>
    <w:rsid w:val="001E67AB"/>
    <w:rsid w:val="00214338"/>
    <w:rsid w:val="002160D0"/>
    <w:rsid w:val="00221CE8"/>
    <w:rsid w:val="0022532B"/>
    <w:rsid w:val="002274DE"/>
    <w:rsid w:val="00247D1F"/>
    <w:rsid w:val="00253BFC"/>
    <w:rsid w:val="00261C4F"/>
    <w:rsid w:val="0026294C"/>
    <w:rsid w:val="002656A7"/>
    <w:rsid w:val="00282938"/>
    <w:rsid w:val="002B134B"/>
    <w:rsid w:val="002B7C56"/>
    <w:rsid w:val="002D6CAE"/>
    <w:rsid w:val="002E2A2D"/>
    <w:rsid w:val="002F48FE"/>
    <w:rsid w:val="002F580C"/>
    <w:rsid w:val="00305978"/>
    <w:rsid w:val="00314401"/>
    <w:rsid w:val="00314911"/>
    <w:rsid w:val="003242D2"/>
    <w:rsid w:val="003602CF"/>
    <w:rsid w:val="003608CF"/>
    <w:rsid w:val="0036488B"/>
    <w:rsid w:val="003A7996"/>
    <w:rsid w:val="003B05A7"/>
    <w:rsid w:val="003B7D88"/>
    <w:rsid w:val="003C0F9E"/>
    <w:rsid w:val="003C22F7"/>
    <w:rsid w:val="003E0C17"/>
    <w:rsid w:val="003E4DA6"/>
    <w:rsid w:val="003F6803"/>
    <w:rsid w:val="0040494B"/>
    <w:rsid w:val="004114DA"/>
    <w:rsid w:val="00413986"/>
    <w:rsid w:val="00416B38"/>
    <w:rsid w:val="0043100E"/>
    <w:rsid w:val="00433A2B"/>
    <w:rsid w:val="0044260E"/>
    <w:rsid w:val="00442F5F"/>
    <w:rsid w:val="00444332"/>
    <w:rsid w:val="004508CA"/>
    <w:rsid w:val="004611E5"/>
    <w:rsid w:val="00461BAF"/>
    <w:rsid w:val="00470876"/>
    <w:rsid w:val="00470DBD"/>
    <w:rsid w:val="00476220"/>
    <w:rsid w:val="00486B98"/>
    <w:rsid w:val="00493DF0"/>
    <w:rsid w:val="004A11DD"/>
    <w:rsid w:val="004A4419"/>
    <w:rsid w:val="004C3960"/>
    <w:rsid w:val="004D5B57"/>
    <w:rsid w:val="004F70E2"/>
    <w:rsid w:val="004F742D"/>
    <w:rsid w:val="005101CE"/>
    <w:rsid w:val="0051372A"/>
    <w:rsid w:val="0053234D"/>
    <w:rsid w:val="005658C8"/>
    <w:rsid w:val="00572741"/>
    <w:rsid w:val="0057348A"/>
    <w:rsid w:val="005836A6"/>
    <w:rsid w:val="005A7F60"/>
    <w:rsid w:val="005B0724"/>
    <w:rsid w:val="005D1095"/>
    <w:rsid w:val="005E4A1C"/>
    <w:rsid w:val="005F5B15"/>
    <w:rsid w:val="00607A69"/>
    <w:rsid w:val="00616426"/>
    <w:rsid w:val="00632116"/>
    <w:rsid w:val="00633240"/>
    <w:rsid w:val="0066260E"/>
    <w:rsid w:val="00692C4C"/>
    <w:rsid w:val="00694C87"/>
    <w:rsid w:val="006A57DF"/>
    <w:rsid w:val="006A6A1C"/>
    <w:rsid w:val="006B5660"/>
    <w:rsid w:val="006C426C"/>
    <w:rsid w:val="006E1078"/>
    <w:rsid w:val="006E71CB"/>
    <w:rsid w:val="00702AED"/>
    <w:rsid w:val="0071431B"/>
    <w:rsid w:val="00715404"/>
    <w:rsid w:val="0073296E"/>
    <w:rsid w:val="0074368A"/>
    <w:rsid w:val="00743EBC"/>
    <w:rsid w:val="00744EF8"/>
    <w:rsid w:val="007475A4"/>
    <w:rsid w:val="00753726"/>
    <w:rsid w:val="00764F88"/>
    <w:rsid w:val="007844B6"/>
    <w:rsid w:val="00784BB4"/>
    <w:rsid w:val="007B463A"/>
    <w:rsid w:val="007D2A07"/>
    <w:rsid w:val="007E0399"/>
    <w:rsid w:val="007E3DF9"/>
    <w:rsid w:val="00803128"/>
    <w:rsid w:val="008054B1"/>
    <w:rsid w:val="00834797"/>
    <w:rsid w:val="00847394"/>
    <w:rsid w:val="00855714"/>
    <w:rsid w:val="008636B2"/>
    <w:rsid w:val="00873A59"/>
    <w:rsid w:val="0087665A"/>
    <w:rsid w:val="008A2936"/>
    <w:rsid w:val="008C4DC7"/>
    <w:rsid w:val="008D0776"/>
    <w:rsid w:val="008D4C59"/>
    <w:rsid w:val="0090201A"/>
    <w:rsid w:val="009027EF"/>
    <w:rsid w:val="0091051F"/>
    <w:rsid w:val="00934FB3"/>
    <w:rsid w:val="00940005"/>
    <w:rsid w:val="0098182C"/>
    <w:rsid w:val="00992AED"/>
    <w:rsid w:val="009A3A4A"/>
    <w:rsid w:val="009A69E8"/>
    <w:rsid w:val="009B2826"/>
    <w:rsid w:val="009B33FE"/>
    <w:rsid w:val="009C0370"/>
    <w:rsid w:val="009C2BD1"/>
    <w:rsid w:val="009D05B7"/>
    <w:rsid w:val="009D49D1"/>
    <w:rsid w:val="00A022F2"/>
    <w:rsid w:val="00A04E5E"/>
    <w:rsid w:val="00A10FCB"/>
    <w:rsid w:val="00A267B5"/>
    <w:rsid w:val="00A45656"/>
    <w:rsid w:val="00A563E8"/>
    <w:rsid w:val="00A92E08"/>
    <w:rsid w:val="00A97BCD"/>
    <w:rsid w:val="00AB7842"/>
    <w:rsid w:val="00AC5B6D"/>
    <w:rsid w:val="00AF224A"/>
    <w:rsid w:val="00AF47E7"/>
    <w:rsid w:val="00B11378"/>
    <w:rsid w:val="00B23D60"/>
    <w:rsid w:val="00B57BD6"/>
    <w:rsid w:val="00BA280B"/>
    <w:rsid w:val="00BD126A"/>
    <w:rsid w:val="00BD15C3"/>
    <w:rsid w:val="00BD5029"/>
    <w:rsid w:val="00BD558B"/>
    <w:rsid w:val="00C1309A"/>
    <w:rsid w:val="00C35CE2"/>
    <w:rsid w:val="00C40239"/>
    <w:rsid w:val="00C45332"/>
    <w:rsid w:val="00C517A0"/>
    <w:rsid w:val="00C52B5B"/>
    <w:rsid w:val="00C57488"/>
    <w:rsid w:val="00C63F7A"/>
    <w:rsid w:val="00C83015"/>
    <w:rsid w:val="00C84037"/>
    <w:rsid w:val="00C84825"/>
    <w:rsid w:val="00C861E2"/>
    <w:rsid w:val="00CA69DB"/>
    <w:rsid w:val="00CC7FC8"/>
    <w:rsid w:val="00CF27A4"/>
    <w:rsid w:val="00D020CF"/>
    <w:rsid w:val="00D0554B"/>
    <w:rsid w:val="00D536B7"/>
    <w:rsid w:val="00D54016"/>
    <w:rsid w:val="00D64B2A"/>
    <w:rsid w:val="00D67C83"/>
    <w:rsid w:val="00D95E5A"/>
    <w:rsid w:val="00DA7632"/>
    <w:rsid w:val="00DC27AD"/>
    <w:rsid w:val="00DC74E2"/>
    <w:rsid w:val="00DE6352"/>
    <w:rsid w:val="00DE6E03"/>
    <w:rsid w:val="00DF7C04"/>
    <w:rsid w:val="00E02DAB"/>
    <w:rsid w:val="00E07948"/>
    <w:rsid w:val="00E1294E"/>
    <w:rsid w:val="00E17D50"/>
    <w:rsid w:val="00E244DF"/>
    <w:rsid w:val="00E27CC6"/>
    <w:rsid w:val="00E3238F"/>
    <w:rsid w:val="00E43078"/>
    <w:rsid w:val="00E45F00"/>
    <w:rsid w:val="00E517B5"/>
    <w:rsid w:val="00E63A73"/>
    <w:rsid w:val="00EA1863"/>
    <w:rsid w:val="00EC013B"/>
    <w:rsid w:val="00ED234D"/>
    <w:rsid w:val="00F0525E"/>
    <w:rsid w:val="00F32896"/>
    <w:rsid w:val="00F41010"/>
    <w:rsid w:val="00F5025E"/>
    <w:rsid w:val="00F74BFE"/>
    <w:rsid w:val="00F772B6"/>
    <w:rsid w:val="00F82E74"/>
    <w:rsid w:val="00F97D64"/>
    <w:rsid w:val="00FA1600"/>
    <w:rsid w:val="00FA1886"/>
    <w:rsid w:val="00FA44CE"/>
    <w:rsid w:val="00FB2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63C99-3F26-4ABC-8853-360C570A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600"/>
    <w:pPr>
      <w:ind w:left="720"/>
      <w:contextualSpacing/>
    </w:pPr>
  </w:style>
  <w:style w:type="paragraph" w:styleId="a4">
    <w:name w:val="Balloon Text"/>
    <w:basedOn w:val="a"/>
    <w:link w:val="a5"/>
    <w:uiPriority w:val="99"/>
    <w:semiHidden/>
    <w:unhideWhenUsed/>
    <w:rsid w:val="00E02D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2DAB"/>
    <w:rPr>
      <w:rFonts w:ascii="Tahoma" w:hAnsi="Tahoma" w:cs="Tahoma"/>
      <w:sz w:val="16"/>
      <w:szCs w:val="16"/>
    </w:rPr>
  </w:style>
  <w:style w:type="table" w:customStyle="1" w:styleId="1">
    <w:name w:val="Сетка таблицы1"/>
    <w:basedOn w:val="a1"/>
    <w:next w:val="a6"/>
    <w:uiPriority w:val="59"/>
    <w:rsid w:val="003C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C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1CE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1427">
      <w:bodyDiv w:val="1"/>
      <w:marLeft w:val="0"/>
      <w:marRight w:val="0"/>
      <w:marTop w:val="0"/>
      <w:marBottom w:val="0"/>
      <w:divBdr>
        <w:top w:val="none" w:sz="0" w:space="0" w:color="auto"/>
        <w:left w:val="none" w:sz="0" w:space="0" w:color="auto"/>
        <w:bottom w:val="none" w:sz="0" w:space="0" w:color="auto"/>
        <w:right w:val="none" w:sz="0" w:space="0" w:color="auto"/>
      </w:divBdr>
    </w:div>
    <w:div w:id="79915628">
      <w:bodyDiv w:val="1"/>
      <w:marLeft w:val="0"/>
      <w:marRight w:val="0"/>
      <w:marTop w:val="0"/>
      <w:marBottom w:val="0"/>
      <w:divBdr>
        <w:top w:val="none" w:sz="0" w:space="0" w:color="auto"/>
        <w:left w:val="none" w:sz="0" w:space="0" w:color="auto"/>
        <w:bottom w:val="none" w:sz="0" w:space="0" w:color="auto"/>
        <w:right w:val="none" w:sz="0" w:space="0" w:color="auto"/>
      </w:divBdr>
    </w:div>
    <w:div w:id="134107308">
      <w:bodyDiv w:val="1"/>
      <w:marLeft w:val="0"/>
      <w:marRight w:val="0"/>
      <w:marTop w:val="0"/>
      <w:marBottom w:val="0"/>
      <w:divBdr>
        <w:top w:val="none" w:sz="0" w:space="0" w:color="auto"/>
        <w:left w:val="none" w:sz="0" w:space="0" w:color="auto"/>
        <w:bottom w:val="none" w:sz="0" w:space="0" w:color="auto"/>
        <w:right w:val="none" w:sz="0" w:space="0" w:color="auto"/>
      </w:divBdr>
    </w:div>
    <w:div w:id="235407332">
      <w:bodyDiv w:val="1"/>
      <w:marLeft w:val="0"/>
      <w:marRight w:val="0"/>
      <w:marTop w:val="0"/>
      <w:marBottom w:val="0"/>
      <w:divBdr>
        <w:top w:val="none" w:sz="0" w:space="0" w:color="auto"/>
        <w:left w:val="none" w:sz="0" w:space="0" w:color="auto"/>
        <w:bottom w:val="none" w:sz="0" w:space="0" w:color="auto"/>
        <w:right w:val="none" w:sz="0" w:space="0" w:color="auto"/>
      </w:divBdr>
    </w:div>
    <w:div w:id="311371997">
      <w:bodyDiv w:val="1"/>
      <w:marLeft w:val="0"/>
      <w:marRight w:val="0"/>
      <w:marTop w:val="0"/>
      <w:marBottom w:val="0"/>
      <w:divBdr>
        <w:top w:val="none" w:sz="0" w:space="0" w:color="auto"/>
        <w:left w:val="none" w:sz="0" w:space="0" w:color="auto"/>
        <w:bottom w:val="none" w:sz="0" w:space="0" w:color="auto"/>
        <w:right w:val="none" w:sz="0" w:space="0" w:color="auto"/>
      </w:divBdr>
    </w:div>
    <w:div w:id="358554899">
      <w:bodyDiv w:val="1"/>
      <w:marLeft w:val="0"/>
      <w:marRight w:val="0"/>
      <w:marTop w:val="0"/>
      <w:marBottom w:val="0"/>
      <w:divBdr>
        <w:top w:val="none" w:sz="0" w:space="0" w:color="auto"/>
        <w:left w:val="none" w:sz="0" w:space="0" w:color="auto"/>
        <w:bottom w:val="none" w:sz="0" w:space="0" w:color="auto"/>
        <w:right w:val="none" w:sz="0" w:space="0" w:color="auto"/>
      </w:divBdr>
    </w:div>
    <w:div w:id="438842312">
      <w:bodyDiv w:val="1"/>
      <w:marLeft w:val="0"/>
      <w:marRight w:val="0"/>
      <w:marTop w:val="0"/>
      <w:marBottom w:val="0"/>
      <w:divBdr>
        <w:top w:val="none" w:sz="0" w:space="0" w:color="auto"/>
        <w:left w:val="none" w:sz="0" w:space="0" w:color="auto"/>
        <w:bottom w:val="none" w:sz="0" w:space="0" w:color="auto"/>
        <w:right w:val="none" w:sz="0" w:space="0" w:color="auto"/>
      </w:divBdr>
    </w:div>
    <w:div w:id="517692817">
      <w:bodyDiv w:val="1"/>
      <w:marLeft w:val="0"/>
      <w:marRight w:val="0"/>
      <w:marTop w:val="0"/>
      <w:marBottom w:val="0"/>
      <w:divBdr>
        <w:top w:val="none" w:sz="0" w:space="0" w:color="auto"/>
        <w:left w:val="none" w:sz="0" w:space="0" w:color="auto"/>
        <w:bottom w:val="none" w:sz="0" w:space="0" w:color="auto"/>
        <w:right w:val="none" w:sz="0" w:space="0" w:color="auto"/>
      </w:divBdr>
    </w:div>
    <w:div w:id="567764268">
      <w:bodyDiv w:val="1"/>
      <w:marLeft w:val="0"/>
      <w:marRight w:val="0"/>
      <w:marTop w:val="0"/>
      <w:marBottom w:val="0"/>
      <w:divBdr>
        <w:top w:val="none" w:sz="0" w:space="0" w:color="auto"/>
        <w:left w:val="none" w:sz="0" w:space="0" w:color="auto"/>
        <w:bottom w:val="none" w:sz="0" w:space="0" w:color="auto"/>
        <w:right w:val="none" w:sz="0" w:space="0" w:color="auto"/>
      </w:divBdr>
    </w:div>
    <w:div w:id="630282624">
      <w:bodyDiv w:val="1"/>
      <w:marLeft w:val="0"/>
      <w:marRight w:val="0"/>
      <w:marTop w:val="0"/>
      <w:marBottom w:val="0"/>
      <w:divBdr>
        <w:top w:val="none" w:sz="0" w:space="0" w:color="auto"/>
        <w:left w:val="none" w:sz="0" w:space="0" w:color="auto"/>
        <w:bottom w:val="none" w:sz="0" w:space="0" w:color="auto"/>
        <w:right w:val="none" w:sz="0" w:space="0" w:color="auto"/>
      </w:divBdr>
    </w:div>
    <w:div w:id="826241685">
      <w:bodyDiv w:val="1"/>
      <w:marLeft w:val="0"/>
      <w:marRight w:val="0"/>
      <w:marTop w:val="0"/>
      <w:marBottom w:val="0"/>
      <w:divBdr>
        <w:top w:val="none" w:sz="0" w:space="0" w:color="auto"/>
        <w:left w:val="none" w:sz="0" w:space="0" w:color="auto"/>
        <w:bottom w:val="none" w:sz="0" w:space="0" w:color="auto"/>
        <w:right w:val="none" w:sz="0" w:space="0" w:color="auto"/>
      </w:divBdr>
    </w:div>
    <w:div w:id="833225589">
      <w:bodyDiv w:val="1"/>
      <w:marLeft w:val="0"/>
      <w:marRight w:val="0"/>
      <w:marTop w:val="0"/>
      <w:marBottom w:val="0"/>
      <w:divBdr>
        <w:top w:val="none" w:sz="0" w:space="0" w:color="auto"/>
        <w:left w:val="none" w:sz="0" w:space="0" w:color="auto"/>
        <w:bottom w:val="none" w:sz="0" w:space="0" w:color="auto"/>
        <w:right w:val="none" w:sz="0" w:space="0" w:color="auto"/>
      </w:divBdr>
    </w:div>
    <w:div w:id="949511464">
      <w:bodyDiv w:val="1"/>
      <w:marLeft w:val="0"/>
      <w:marRight w:val="0"/>
      <w:marTop w:val="0"/>
      <w:marBottom w:val="0"/>
      <w:divBdr>
        <w:top w:val="none" w:sz="0" w:space="0" w:color="auto"/>
        <w:left w:val="none" w:sz="0" w:space="0" w:color="auto"/>
        <w:bottom w:val="none" w:sz="0" w:space="0" w:color="auto"/>
        <w:right w:val="none" w:sz="0" w:space="0" w:color="auto"/>
      </w:divBdr>
    </w:div>
    <w:div w:id="970207361">
      <w:bodyDiv w:val="1"/>
      <w:marLeft w:val="0"/>
      <w:marRight w:val="0"/>
      <w:marTop w:val="0"/>
      <w:marBottom w:val="0"/>
      <w:divBdr>
        <w:top w:val="none" w:sz="0" w:space="0" w:color="auto"/>
        <w:left w:val="none" w:sz="0" w:space="0" w:color="auto"/>
        <w:bottom w:val="none" w:sz="0" w:space="0" w:color="auto"/>
        <w:right w:val="none" w:sz="0" w:space="0" w:color="auto"/>
      </w:divBdr>
    </w:div>
    <w:div w:id="992369618">
      <w:bodyDiv w:val="1"/>
      <w:marLeft w:val="0"/>
      <w:marRight w:val="0"/>
      <w:marTop w:val="0"/>
      <w:marBottom w:val="0"/>
      <w:divBdr>
        <w:top w:val="none" w:sz="0" w:space="0" w:color="auto"/>
        <w:left w:val="none" w:sz="0" w:space="0" w:color="auto"/>
        <w:bottom w:val="none" w:sz="0" w:space="0" w:color="auto"/>
        <w:right w:val="none" w:sz="0" w:space="0" w:color="auto"/>
      </w:divBdr>
    </w:div>
    <w:div w:id="1170100086">
      <w:bodyDiv w:val="1"/>
      <w:marLeft w:val="0"/>
      <w:marRight w:val="0"/>
      <w:marTop w:val="0"/>
      <w:marBottom w:val="0"/>
      <w:divBdr>
        <w:top w:val="none" w:sz="0" w:space="0" w:color="auto"/>
        <w:left w:val="none" w:sz="0" w:space="0" w:color="auto"/>
        <w:bottom w:val="none" w:sz="0" w:space="0" w:color="auto"/>
        <w:right w:val="none" w:sz="0" w:space="0" w:color="auto"/>
      </w:divBdr>
    </w:div>
    <w:div w:id="1188526628">
      <w:bodyDiv w:val="1"/>
      <w:marLeft w:val="0"/>
      <w:marRight w:val="0"/>
      <w:marTop w:val="0"/>
      <w:marBottom w:val="0"/>
      <w:divBdr>
        <w:top w:val="none" w:sz="0" w:space="0" w:color="auto"/>
        <w:left w:val="none" w:sz="0" w:space="0" w:color="auto"/>
        <w:bottom w:val="none" w:sz="0" w:space="0" w:color="auto"/>
        <w:right w:val="none" w:sz="0" w:space="0" w:color="auto"/>
      </w:divBdr>
    </w:div>
    <w:div w:id="1332634847">
      <w:bodyDiv w:val="1"/>
      <w:marLeft w:val="0"/>
      <w:marRight w:val="0"/>
      <w:marTop w:val="0"/>
      <w:marBottom w:val="0"/>
      <w:divBdr>
        <w:top w:val="none" w:sz="0" w:space="0" w:color="auto"/>
        <w:left w:val="none" w:sz="0" w:space="0" w:color="auto"/>
        <w:bottom w:val="none" w:sz="0" w:space="0" w:color="auto"/>
        <w:right w:val="none" w:sz="0" w:space="0" w:color="auto"/>
      </w:divBdr>
    </w:div>
    <w:div w:id="1401826069">
      <w:bodyDiv w:val="1"/>
      <w:marLeft w:val="0"/>
      <w:marRight w:val="0"/>
      <w:marTop w:val="0"/>
      <w:marBottom w:val="0"/>
      <w:divBdr>
        <w:top w:val="none" w:sz="0" w:space="0" w:color="auto"/>
        <w:left w:val="none" w:sz="0" w:space="0" w:color="auto"/>
        <w:bottom w:val="none" w:sz="0" w:space="0" w:color="auto"/>
        <w:right w:val="none" w:sz="0" w:space="0" w:color="auto"/>
      </w:divBdr>
    </w:div>
    <w:div w:id="1598168890">
      <w:bodyDiv w:val="1"/>
      <w:marLeft w:val="0"/>
      <w:marRight w:val="0"/>
      <w:marTop w:val="0"/>
      <w:marBottom w:val="0"/>
      <w:divBdr>
        <w:top w:val="none" w:sz="0" w:space="0" w:color="auto"/>
        <w:left w:val="none" w:sz="0" w:space="0" w:color="auto"/>
        <w:bottom w:val="none" w:sz="0" w:space="0" w:color="auto"/>
        <w:right w:val="none" w:sz="0" w:space="0" w:color="auto"/>
      </w:divBdr>
    </w:div>
    <w:div w:id="1630935823">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 w:id="2042513871">
      <w:bodyDiv w:val="1"/>
      <w:marLeft w:val="0"/>
      <w:marRight w:val="0"/>
      <w:marTop w:val="0"/>
      <w:marBottom w:val="0"/>
      <w:divBdr>
        <w:top w:val="none" w:sz="0" w:space="0" w:color="auto"/>
        <w:left w:val="none" w:sz="0" w:space="0" w:color="auto"/>
        <w:bottom w:val="none" w:sz="0" w:space="0" w:color="auto"/>
        <w:right w:val="none" w:sz="0" w:space="0" w:color="auto"/>
      </w:divBdr>
    </w:div>
    <w:div w:id="2064939473">
      <w:bodyDiv w:val="1"/>
      <w:marLeft w:val="0"/>
      <w:marRight w:val="0"/>
      <w:marTop w:val="0"/>
      <w:marBottom w:val="0"/>
      <w:divBdr>
        <w:top w:val="none" w:sz="0" w:space="0" w:color="auto"/>
        <w:left w:val="none" w:sz="0" w:space="0" w:color="auto"/>
        <w:bottom w:val="none" w:sz="0" w:space="0" w:color="auto"/>
        <w:right w:val="none" w:sz="0" w:space="0" w:color="auto"/>
      </w:divBdr>
    </w:div>
    <w:div w:id="2107924464">
      <w:bodyDiv w:val="1"/>
      <w:marLeft w:val="0"/>
      <w:marRight w:val="0"/>
      <w:marTop w:val="0"/>
      <w:marBottom w:val="0"/>
      <w:divBdr>
        <w:top w:val="none" w:sz="0" w:space="0" w:color="auto"/>
        <w:left w:val="none" w:sz="0" w:space="0" w:color="auto"/>
        <w:bottom w:val="none" w:sz="0" w:space="0" w:color="auto"/>
        <w:right w:val="none" w:sz="0" w:space="0" w:color="auto"/>
      </w:divBdr>
    </w:div>
    <w:div w:id="21412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143117526975534E-2"/>
          <c:y val="8.4168228971378684E-2"/>
          <c:w val="0.5794437153689127"/>
          <c:h val="0.75834833145856884"/>
        </c:manualLayout>
      </c:layout>
      <c:barChart>
        <c:barDir val="col"/>
        <c:grouping val="clustered"/>
        <c:varyColors val="0"/>
        <c:ser>
          <c:idx val="0"/>
          <c:order val="0"/>
          <c:tx>
            <c:strRef>
              <c:f>Лист1!$B$1</c:f>
              <c:strCache>
                <c:ptCount val="1"/>
                <c:pt idx="0">
                  <c:v>With no stimulus </c:v>
                </c:pt>
              </c:strCache>
            </c:strRef>
          </c:tx>
          <c:invertIfNegative val="0"/>
          <c:dPt>
            <c:idx val="2"/>
            <c:invertIfNegative val="0"/>
            <c:bubble3D val="0"/>
            <c:spPr>
              <a:ln>
                <a:noFill/>
              </a:ln>
            </c:spPr>
            <c:extLst>
              <c:ext xmlns:c16="http://schemas.microsoft.com/office/drawing/2014/chart" uri="{C3380CC4-5D6E-409C-BE32-E72D297353CC}">
                <c16:uniqueId val="{00000001-1D02-4F3E-A597-E6793538934A}"/>
              </c:ext>
            </c:extLst>
          </c:dPt>
          <c:dLbls>
            <c:dLbl>
              <c:idx val="0"/>
              <c:layout>
                <c:manualLayout>
                  <c:x val="-5.8823529411764705E-3"/>
                  <c:y val="1.21926437715911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69-4910-9F96-57AD6CF1376E}"/>
                </c:ext>
              </c:extLst>
            </c:dLbl>
            <c:dLbl>
              <c:idx val="2"/>
              <c:layout>
                <c:manualLayout>
                  <c:x val="-9.803921568627450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02-4F3E-A597-E6793538934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Primary dysfunction</c:v>
                </c:pt>
                <c:pt idx="2">
                  <c:v>Secondary dysfunction</c:v>
                </c:pt>
              </c:strCache>
            </c:strRef>
          </c:cat>
          <c:val>
            <c:numRef>
              <c:f>Лист1!$B$2:$B$4</c:f>
              <c:numCache>
                <c:formatCode>General</c:formatCode>
                <c:ptCount val="3"/>
                <c:pt idx="0">
                  <c:v>87.2</c:v>
                </c:pt>
                <c:pt idx="2">
                  <c:v>67.2</c:v>
                </c:pt>
              </c:numCache>
            </c:numRef>
          </c:val>
          <c:extLst>
            <c:ext xmlns:c16="http://schemas.microsoft.com/office/drawing/2014/chart" uri="{C3380CC4-5D6E-409C-BE32-E72D297353CC}">
              <c16:uniqueId val="{00000002-1D02-4F3E-A597-E6793538934A}"/>
            </c:ext>
          </c:extLst>
        </c:ser>
        <c:ser>
          <c:idx val="1"/>
          <c:order val="1"/>
          <c:tx>
            <c:strRef>
              <c:f>Лист1!$C$1</c:f>
              <c:strCache>
                <c:ptCount val="1"/>
                <c:pt idx="0">
                  <c:v>With stimulation of primary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Primary dysfunction</c:v>
                </c:pt>
                <c:pt idx="2">
                  <c:v>Secondary dysfunction</c:v>
                </c:pt>
              </c:strCache>
            </c:strRef>
          </c:cat>
          <c:val>
            <c:numRef>
              <c:f>Лист1!$C$2:$C$4</c:f>
              <c:numCache>
                <c:formatCode>General</c:formatCode>
                <c:ptCount val="3"/>
                <c:pt idx="0">
                  <c:v>105.3</c:v>
                </c:pt>
                <c:pt idx="2">
                  <c:v>76</c:v>
                </c:pt>
              </c:numCache>
            </c:numRef>
          </c:val>
          <c:extLst>
            <c:ext xmlns:c16="http://schemas.microsoft.com/office/drawing/2014/chart" uri="{C3380CC4-5D6E-409C-BE32-E72D297353CC}">
              <c16:uniqueId val="{00000003-1D02-4F3E-A597-E6793538934A}"/>
            </c:ext>
          </c:extLst>
        </c:ser>
        <c:ser>
          <c:idx val="2"/>
          <c:order val="2"/>
          <c:tx>
            <c:strRef>
              <c:f>Лист1!$D$1</c:f>
              <c:strCache>
                <c:ptCount val="1"/>
                <c:pt idx="0">
                  <c:v>With stimulation of secondary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Primary dysfunction</c:v>
                </c:pt>
                <c:pt idx="2">
                  <c:v>Secondary dysfunction</c:v>
                </c:pt>
              </c:strCache>
            </c:strRef>
          </c:cat>
          <c:val>
            <c:numRef>
              <c:f>Лист1!$D$2:$D$4</c:f>
              <c:numCache>
                <c:formatCode>General</c:formatCode>
                <c:ptCount val="3"/>
                <c:pt idx="0">
                  <c:v>77.2</c:v>
                </c:pt>
                <c:pt idx="2">
                  <c:v>82</c:v>
                </c:pt>
              </c:numCache>
            </c:numRef>
          </c:val>
          <c:extLst>
            <c:ext xmlns:c16="http://schemas.microsoft.com/office/drawing/2014/chart" uri="{C3380CC4-5D6E-409C-BE32-E72D297353CC}">
              <c16:uniqueId val="{00000004-1D02-4F3E-A597-E6793538934A}"/>
            </c:ext>
          </c:extLst>
        </c:ser>
        <c:ser>
          <c:idx val="3"/>
          <c:order val="3"/>
          <c:tx>
            <c:strRef>
              <c:f>Лист1!$E$1</c:f>
              <c:strCache>
                <c:ptCount val="1"/>
                <c:pt idx="0">
                  <c:v>Antistimulation of primary </c:v>
                </c:pt>
              </c:strCache>
            </c:strRef>
          </c:tx>
          <c:invertIfNegative val="0"/>
          <c:dLbls>
            <c:dLbl>
              <c:idx val="0"/>
              <c:layout>
                <c:manualLayout>
                  <c:x val="-1.7973648576028226E-17"/>
                  <c:y val="8.12842918106075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69-4910-9F96-57AD6CF1376E}"/>
                </c:ext>
              </c:extLst>
            </c:dLbl>
            <c:dLbl>
              <c:idx val="2"/>
              <c:layout>
                <c:manualLayout>
                  <c:x val="0"/>
                  <c:y val="8.12842918106075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69-4910-9F96-57AD6CF1376E}"/>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Primary dysfunction</c:v>
                </c:pt>
                <c:pt idx="2">
                  <c:v>Secondary dysfunction</c:v>
                </c:pt>
              </c:strCache>
            </c:strRef>
          </c:cat>
          <c:val>
            <c:numRef>
              <c:f>Лист1!$E$2:$E$4</c:f>
              <c:numCache>
                <c:formatCode>General</c:formatCode>
                <c:ptCount val="3"/>
                <c:pt idx="0">
                  <c:v>69.5</c:v>
                </c:pt>
                <c:pt idx="2">
                  <c:v>52.9</c:v>
                </c:pt>
              </c:numCache>
            </c:numRef>
          </c:val>
          <c:extLst>
            <c:ext xmlns:c16="http://schemas.microsoft.com/office/drawing/2014/chart" uri="{C3380CC4-5D6E-409C-BE32-E72D297353CC}">
              <c16:uniqueId val="{00000005-1D02-4F3E-A597-E6793538934A}"/>
            </c:ext>
          </c:extLst>
        </c:ser>
        <c:ser>
          <c:idx val="4"/>
          <c:order val="4"/>
          <c:tx>
            <c:strRef>
              <c:f>Лист1!$F$1</c:f>
              <c:strCache>
                <c:ptCount val="1"/>
                <c:pt idx="0">
                  <c:v>Antistimulation of primary</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Primary dysfunction</c:v>
                </c:pt>
                <c:pt idx="2">
                  <c:v>Secondary dysfunction</c:v>
                </c:pt>
              </c:strCache>
            </c:strRef>
          </c:cat>
          <c:val>
            <c:numRef>
              <c:f>Лист1!$F$2:$F$4</c:f>
              <c:numCache>
                <c:formatCode>General</c:formatCode>
                <c:ptCount val="3"/>
                <c:pt idx="0">
                  <c:v>90.6</c:v>
                </c:pt>
                <c:pt idx="2">
                  <c:v>56.2</c:v>
                </c:pt>
              </c:numCache>
            </c:numRef>
          </c:val>
          <c:extLst>
            <c:ext xmlns:c16="http://schemas.microsoft.com/office/drawing/2014/chart" uri="{C3380CC4-5D6E-409C-BE32-E72D297353CC}">
              <c16:uniqueId val="{00000006-1D02-4F3E-A597-E6793538934A}"/>
            </c:ext>
          </c:extLst>
        </c:ser>
        <c:ser>
          <c:idx val="5"/>
          <c:order val="5"/>
          <c:tx>
            <c:strRef>
              <c:f>Лист1!$G$1</c:f>
              <c:strCache>
                <c:ptCount val="1"/>
                <c:pt idx="0">
                  <c:v>Indifferent area</c:v>
                </c:pt>
              </c:strCache>
            </c:strRef>
          </c:tx>
          <c:invertIfNegative val="0"/>
          <c:dLbls>
            <c:dLbl>
              <c:idx val="0"/>
              <c:layout>
                <c:manualLayout>
                  <c:x val="9.8039215686274508E-3"/>
                  <c:y val="8.12842918106075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69-4910-9F96-57AD6CF1376E}"/>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Primary dysfunction</c:v>
                </c:pt>
                <c:pt idx="2">
                  <c:v>Secondary dysfunction</c:v>
                </c:pt>
              </c:strCache>
            </c:strRef>
          </c:cat>
          <c:val>
            <c:numRef>
              <c:f>Лист1!$G$2:$G$4</c:f>
              <c:numCache>
                <c:formatCode>General</c:formatCode>
                <c:ptCount val="3"/>
                <c:pt idx="0">
                  <c:v>87.5</c:v>
                </c:pt>
                <c:pt idx="2">
                  <c:v>67.400000000000006</c:v>
                </c:pt>
              </c:numCache>
            </c:numRef>
          </c:val>
          <c:extLst>
            <c:ext xmlns:c16="http://schemas.microsoft.com/office/drawing/2014/chart" uri="{C3380CC4-5D6E-409C-BE32-E72D297353CC}">
              <c16:uniqueId val="{00000007-1D02-4F3E-A597-E6793538934A}"/>
            </c:ext>
          </c:extLst>
        </c:ser>
        <c:ser>
          <c:idx val="6"/>
          <c:order val="6"/>
          <c:tx>
            <c:strRef>
              <c:f>Лист1!$H$1</c:f>
              <c:strCache>
                <c:ptCount val="1"/>
                <c:pt idx="0">
                  <c:v>After P-DTR</c:v>
                </c:pt>
              </c:strCache>
            </c:strRef>
          </c:tx>
          <c:invertIfNegative val="0"/>
          <c:dLbls>
            <c:dLbl>
              <c:idx val="0"/>
              <c:layout>
                <c:manualLayout>
                  <c:x val="9.8039215686274508E-3"/>
                  <c:y val="4.0642145905303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69-4910-9F96-57AD6CF1376E}"/>
                </c:ext>
              </c:extLst>
            </c:dLbl>
            <c:dLbl>
              <c:idx val="2"/>
              <c:layout>
                <c:manualLayout>
                  <c:x val="1.1764705882352941E-2"/>
                  <c:y val="4.0642145905303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69-4910-9F96-57AD6CF1376E}"/>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Primary dysfunction</c:v>
                </c:pt>
                <c:pt idx="2">
                  <c:v>Secondary dysfunction</c:v>
                </c:pt>
              </c:strCache>
            </c:strRef>
          </c:cat>
          <c:val>
            <c:numRef>
              <c:f>Лист1!$H$2:$H$4</c:f>
              <c:numCache>
                <c:formatCode>General</c:formatCode>
                <c:ptCount val="3"/>
                <c:pt idx="0">
                  <c:v>55.4</c:v>
                </c:pt>
                <c:pt idx="2">
                  <c:v>51.2</c:v>
                </c:pt>
              </c:numCache>
            </c:numRef>
          </c:val>
          <c:extLst>
            <c:ext xmlns:c16="http://schemas.microsoft.com/office/drawing/2014/chart" uri="{C3380CC4-5D6E-409C-BE32-E72D297353CC}">
              <c16:uniqueId val="{00000008-1D02-4F3E-A597-E6793538934A}"/>
            </c:ext>
          </c:extLst>
        </c:ser>
        <c:dLbls>
          <c:dLblPos val="outEnd"/>
          <c:showLegendKey val="0"/>
          <c:showVal val="1"/>
          <c:showCatName val="0"/>
          <c:showSerName val="0"/>
          <c:showPercent val="0"/>
          <c:showBubbleSize val="0"/>
        </c:dLbls>
        <c:gapWidth val="150"/>
        <c:axId val="332053888"/>
        <c:axId val="341480192"/>
      </c:barChart>
      <c:catAx>
        <c:axId val="332053888"/>
        <c:scaling>
          <c:orientation val="minMax"/>
        </c:scaling>
        <c:delete val="0"/>
        <c:axPos val="b"/>
        <c:title>
          <c:tx>
            <c:rich>
              <a:bodyPr/>
              <a:lstStyle/>
              <a:p>
                <a:pPr>
                  <a:defRPr/>
                </a:pPr>
                <a:r>
                  <a:rPr lang="en-US"/>
                  <a:t>The researched</a:t>
                </a:r>
                <a:r>
                  <a:rPr lang="en-US" baseline="0"/>
                  <a:t> area</a:t>
                </a:r>
                <a:endParaRPr lang="ru-RU"/>
              </a:p>
            </c:rich>
          </c:tx>
          <c:layout>
            <c:manualLayout>
              <c:xMode val="edge"/>
              <c:yMode val="edge"/>
              <c:x val="0.30833241386228027"/>
              <c:y val="0.9382343909928349"/>
            </c:manualLayout>
          </c:layout>
          <c:overlay val="0"/>
        </c:title>
        <c:numFmt formatCode="General" sourceLinked="0"/>
        <c:majorTickMark val="out"/>
        <c:minorTickMark val="none"/>
        <c:tickLblPos val="nextTo"/>
        <c:crossAx val="341480192"/>
        <c:crossesAt val="0"/>
        <c:auto val="1"/>
        <c:lblAlgn val="ctr"/>
        <c:lblOffset val="100"/>
        <c:noMultiLvlLbl val="0"/>
      </c:catAx>
      <c:valAx>
        <c:axId val="341480192"/>
        <c:scaling>
          <c:orientation val="minMax"/>
        </c:scaling>
        <c:delete val="0"/>
        <c:axPos val="l"/>
        <c:majorGridlines/>
        <c:title>
          <c:tx>
            <c:rich>
              <a:bodyPr rot="0" vert="horz"/>
              <a:lstStyle/>
              <a:p>
                <a:pPr>
                  <a:defRPr/>
                </a:pPr>
                <a:r>
                  <a:rPr lang="en-US"/>
                  <a:t>mkV</a:t>
                </a:r>
                <a:endParaRPr lang="ru-RU"/>
              </a:p>
            </c:rich>
          </c:tx>
          <c:layout>
            <c:manualLayout>
              <c:xMode val="edge"/>
              <c:yMode val="edge"/>
              <c:x val="0"/>
              <c:y val="2.8841479017400217E-3"/>
            </c:manualLayout>
          </c:layout>
          <c:overlay val="0"/>
        </c:title>
        <c:numFmt formatCode="General" sourceLinked="1"/>
        <c:majorTickMark val="out"/>
        <c:minorTickMark val="none"/>
        <c:tickLblPos val="nextTo"/>
        <c:crossAx val="332053888"/>
        <c:crosses val="autoZero"/>
        <c:crossBetween val="between"/>
      </c:valAx>
    </c:plotArea>
    <c:legend>
      <c:legendPos val="r"/>
      <c:layout>
        <c:manualLayout>
          <c:xMode val="edge"/>
          <c:yMode val="edge"/>
          <c:x val="0.68315114119506959"/>
          <c:y val="8.9973753280839966E-2"/>
          <c:w val="0.30295989317124894"/>
          <c:h val="0.77228887298178706"/>
        </c:manualLayout>
      </c:layout>
      <c:overlay val="0"/>
      <c:txPr>
        <a:bodyPr/>
        <a:lstStyle/>
        <a:p>
          <a:pPr>
            <a:defRPr baseline="0"/>
          </a:pPr>
          <a:endParaRPr lang="ru-RU"/>
        </a:p>
      </c:txPr>
    </c:legend>
    <c:plotVisOnly val="1"/>
    <c:dispBlanksAs val="gap"/>
    <c:showDLblsOverMax val="0"/>
  </c:chart>
  <c:spPr>
    <a:ln>
      <a:solidFill>
        <a:srgbClr val="5B9BD5"/>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With no stimulus </c:v>
                </c:pt>
              </c:strCache>
            </c:strRef>
          </c:tx>
          <c:spPr>
            <a:ln>
              <a:solidFill>
                <a:schemeClr val="tx1"/>
              </a:solidFill>
            </a:ln>
          </c:spPr>
          <c:invertIfNegative val="0"/>
          <c:cat>
            <c:strRef>
              <c:f>Лист1!$A$2:$A$5</c:f>
              <c:strCache>
                <c:ptCount val="3"/>
                <c:pt idx="0">
                  <c:v>Primary field-associated muscle</c:v>
                </c:pt>
                <c:pt idx="1">
                  <c:v>Secondary field-associated muscle</c:v>
                </c:pt>
                <c:pt idx="2">
                  <c:v>Indicatory muscle</c:v>
                </c:pt>
              </c:strCache>
            </c:strRef>
          </c:cat>
          <c:val>
            <c:numRef>
              <c:f>Лист1!$B$2:$B$5</c:f>
              <c:numCache>
                <c:formatCode>0</c:formatCode>
                <c:ptCount val="4"/>
                <c:pt idx="0">
                  <c:v>823.65</c:v>
                </c:pt>
                <c:pt idx="1">
                  <c:v>912.01666666666665</c:v>
                </c:pt>
                <c:pt idx="2">
                  <c:v>907.4766666666668</c:v>
                </c:pt>
              </c:numCache>
            </c:numRef>
          </c:val>
          <c:extLst>
            <c:ext xmlns:c16="http://schemas.microsoft.com/office/drawing/2014/chart" uri="{C3380CC4-5D6E-409C-BE32-E72D297353CC}">
              <c16:uniqueId val="{00000000-8B1B-401F-B774-09D677CF4AD2}"/>
            </c:ext>
          </c:extLst>
        </c:ser>
        <c:ser>
          <c:idx val="1"/>
          <c:order val="1"/>
          <c:tx>
            <c:strRef>
              <c:f>Лист1!$C$1</c:f>
              <c:strCache>
                <c:ptCount val="1"/>
                <c:pt idx="0">
                  <c:v>With stimulation of primary </c:v>
                </c:pt>
              </c:strCache>
            </c:strRef>
          </c:tx>
          <c:spPr>
            <a:solidFill>
              <a:srgbClr val="00B0F0"/>
            </a:solidFill>
            <a:ln>
              <a:solidFill>
                <a:schemeClr val="tx1"/>
              </a:solidFill>
            </a:ln>
          </c:spPr>
          <c:invertIfNegative val="0"/>
          <c:cat>
            <c:strRef>
              <c:f>Лист1!$A$2:$A$5</c:f>
              <c:strCache>
                <c:ptCount val="3"/>
                <c:pt idx="0">
                  <c:v>Primary field-associated muscle</c:v>
                </c:pt>
                <c:pt idx="1">
                  <c:v>Secondary field-associated muscle</c:v>
                </c:pt>
                <c:pt idx="2">
                  <c:v>Indicatory muscle</c:v>
                </c:pt>
              </c:strCache>
            </c:strRef>
          </c:cat>
          <c:val>
            <c:numRef>
              <c:f>Лист1!$C$2:$C$5</c:f>
              <c:numCache>
                <c:formatCode>0</c:formatCode>
                <c:ptCount val="4"/>
                <c:pt idx="0">
                  <c:v>694.0333333333333</c:v>
                </c:pt>
                <c:pt idx="1">
                  <c:v>833.7166666666667</c:v>
                </c:pt>
                <c:pt idx="2">
                  <c:v>495.62786090438391</c:v>
                </c:pt>
              </c:numCache>
            </c:numRef>
          </c:val>
          <c:extLst>
            <c:ext xmlns:c16="http://schemas.microsoft.com/office/drawing/2014/chart" uri="{C3380CC4-5D6E-409C-BE32-E72D297353CC}">
              <c16:uniqueId val="{00000001-8B1B-401F-B774-09D677CF4AD2}"/>
            </c:ext>
          </c:extLst>
        </c:ser>
        <c:ser>
          <c:idx val="2"/>
          <c:order val="2"/>
          <c:tx>
            <c:strRef>
              <c:f>Лист1!$D$1</c:f>
              <c:strCache>
                <c:ptCount val="1"/>
                <c:pt idx="0">
                  <c:v>With stimulation of secondary </c:v>
                </c:pt>
              </c:strCache>
            </c:strRef>
          </c:tx>
          <c:spPr>
            <a:ln>
              <a:solidFill>
                <a:schemeClr val="tx1"/>
              </a:solidFill>
            </a:ln>
          </c:spPr>
          <c:invertIfNegative val="0"/>
          <c:cat>
            <c:strRef>
              <c:f>Лист1!$A$2:$A$5</c:f>
              <c:strCache>
                <c:ptCount val="3"/>
                <c:pt idx="0">
                  <c:v>Primary field-associated muscle</c:v>
                </c:pt>
                <c:pt idx="1">
                  <c:v>Secondary field-associated muscle</c:v>
                </c:pt>
                <c:pt idx="2">
                  <c:v>Indicatory muscle</c:v>
                </c:pt>
              </c:strCache>
            </c:strRef>
          </c:cat>
          <c:val>
            <c:numRef>
              <c:f>Лист1!$D$2:$D$5</c:f>
              <c:numCache>
                <c:formatCode>0</c:formatCode>
                <c:ptCount val="4"/>
                <c:pt idx="0">
                  <c:v>903.1</c:v>
                </c:pt>
                <c:pt idx="1">
                  <c:v>821.7</c:v>
                </c:pt>
                <c:pt idx="2">
                  <c:v>519.47174592105864</c:v>
                </c:pt>
              </c:numCache>
            </c:numRef>
          </c:val>
          <c:extLst>
            <c:ext xmlns:c16="http://schemas.microsoft.com/office/drawing/2014/chart" uri="{C3380CC4-5D6E-409C-BE32-E72D297353CC}">
              <c16:uniqueId val="{00000002-8B1B-401F-B774-09D677CF4AD2}"/>
            </c:ext>
          </c:extLst>
        </c:ser>
        <c:dLbls>
          <c:showLegendKey val="0"/>
          <c:showVal val="0"/>
          <c:showCatName val="0"/>
          <c:showSerName val="0"/>
          <c:showPercent val="0"/>
          <c:showBubbleSize val="0"/>
        </c:dLbls>
        <c:gapWidth val="150"/>
        <c:axId val="195932928"/>
        <c:axId val="195934848"/>
      </c:barChart>
      <c:catAx>
        <c:axId val="195932928"/>
        <c:scaling>
          <c:orientation val="minMax"/>
        </c:scaling>
        <c:delete val="0"/>
        <c:axPos val="b"/>
        <c:title>
          <c:tx>
            <c:rich>
              <a:bodyPr/>
              <a:lstStyle/>
              <a:p>
                <a:pPr>
                  <a:defRPr/>
                </a:pPr>
                <a:r>
                  <a:rPr lang="en-US"/>
                  <a:t>The researched area</a:t>
                </a:r>
                <a:endParaRPr lang="ru-RU"/>
              </a:p>
            </c:rich>
          </c:tx>
          <c:overlay val="0"/>
        </c:title>
        <c:numFmt formatCode="General" sourceLinked="0"/>
        <c:majorTickMark val="out"/>
        <c:minorTickMark val="none"/>
        <c:tickLblPos val="nextTo"/>
        <c:crossAx val="195934848"/>
        <c:crosses val="autoZero"/>
        <c:auto val="1"/>
        <c:lblAlgn val="ctr"/>
        <c:lblOffset val="100"/>
        <c:noMultiLvlLbl val="0"/>
      </c:catAx>
      <c:valAx>
        <c:axId val="195934848"/>
        <c:scaling>
          <c:orientation val="minMax"/>
        </c:scaling>
        <c:delete val="0"/>
        <c:axPos val="l"/>
        <c:majorGridlines/>
        <c:title>
          <c:tx>
            <c:rich>
              <a:bodyPr rot="0" vert="horz"/>
              <a:lstStyle/>
              <a:p>
                <a:pPr>
                  <a:defRPr/>
                </a:pPr>
                <a:r>
                  <a:rPr lang="en-US"/>
                  <a:t>mkV</a:t>
                </a:r>
                <a:endParaRPr lang="ru-RU"/>
              </a:p>
            </c:rich>
          </c:tx>
          <c:layout>
            <c:manualLayout>
              <c:xMode val="edge"/>
              <c:yMode val="edge"/>
              <c:x val="1.2886367145283311E-2"/>
              <c:y val="2.2304797787953939E-2"/>
            </c:manualLayout>
          </c:layout>
          <c:overlay val="0"/>
        </c:title>
        <c:numFmt formatCode="0" sourceLinked="1"/>
        <c:majorTickMark val="out"/>
        <c:minorTickMark val="none"/>
        <c:tickLblPos val="nextTo"/>
        <c:crossAx val="19593292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Before the P-DTR treatment</c:v>
                </c:pt>
              </c:strCache>
            </c:strRef>
          </c:tx>
          <c:invertIfNegative val="0"/>
          <c:cat>
            <c:strRef>
              <c:f>Лист1!$A$2:$A$5</c:f>
              <c:strCache>
                <c:ptCount val="2"/>
                <c:pt idx="0">
                  <c:v>ES1</c:v>
                </c:pt>
                <c:pt idx="1">
                  <c:v>ES2</c:v>
                </c:pt>
              </c:strCache>
            </c:strRef>
          </c:cat>
          <c:val>
            <c:numRef>
              <c:f>Лист1!$B$2:$B$5</c:f>
              <c:numCache>
                <c:formatCode>General</c:formatCode>
                <c:ptCount val="4"/>
                <c:pt idx="0">
                  <c:v>17.5</c:v>
                </c:pt>
                <c:pt idx="1">
                  <c:v>44.2</c:v>
                </c:pt>
              </c:numCache>
            </c:numRef>
          </c:val>
          <c:extLst>
            <c:ext xmlns:c16="http://schemas.microsoft.com/office/drawing/2014/chart" uri="{C3380CC4-5D6E-409C-BE32-E72D297353CC}">
              <c16:uniqueId val="{00000000-8BE1-4866-98AA-2E6F930F671E}"/>
            </c:ext>
          </c:extLst>
        </c:ser>
        <c:ser>
          <c:idx val="1"/>
          <c:order val="1"/>
          <c:tx>
            <c:strRef>
              <c:f>Лист1!$C$1</c:f>
              <c:strCache>
                <c:ptCount val="1"/>
                <c:pt idx="0">
                  <c:v>After the P-DTR treatment</c:v>
                </c:pt>
              </c:strCache>
            </c:strRef>
          </c:tx>
          <c:invertIfNegative val="0"/>
          <c:cat>
            <c:strRef>
              <c:f>Лист1!$A$2:$A$5</c:f>
              <c:strCache>
                <c:ptCount val="2"/>
                <c:pt idx="0">
                  <c:v>ES1</c:v>
                </c:pt>
                <c:pt idx="1">
                  <c:v>ES2</c:v>
                </c:pt>
              </c:strCache>
            </c:strRef>
          </c:cat>
          <c:val>
            <c:numRef>
              <c:f>Лист1!$C$2:$C$5</c:f>
              <c:numCache>
                <c:formatCode>General</c:formatCode>
                <c:ptCount val="4"/>
                <c:pt idx="0">
                  <c:v>13.4</c:v>
                </c:pt>
                <c:pt idx="1">
                  <c:v>32.700000000000003</c:v>
                </c:pt>
              </c:numCache>
            </c:numRef>
          </c:val>
          <c:extLst>
            <c:ext xmlns:c16="http://schemas.microsoft.com/office/drawing/2014/chart" uri="{C3380CC4-5D6E-409C-BE32-E72D297353CC}">
              <c16:uniqueId val="{00000001-8BE1-4866-98AA-2E6F930F671E}"/>
            </c:ext>
          </c:extLst>
        </c:ser>
        <c:dLbls>
          <c:showLegendKey val="0"/>
          <c:showVal val="0"/>
          <c:showCatName val="0"/>
          <c:showSerName val="0"/>
          <c:showPercent val="0"/>
          <c:showBubbleSize val="0"/>
        </c:dLbls>
        <c:gapWidth val="150"/>
        <c:axId val="390192512"/>
        <c:axId val="390268032"/>
      </c:barChart>
      <c:catAx>
        <c:axId val="390192512"/>
        <c:scaling>
          <c:orientation val="minMax"/>
        </c:scaling>
        <c:delete val="0"/>
        <c:axPos val="b"/>
        <c:numFmt formatCode="General" sourceLinked="0"/>
        <c:majorTickMark val="out"/>
        <c:minorTickMark val="none"/>
        <c:tickLblPos val="nextTo"/>
        <c:crossAx val="390268032"/>
        <c:crosses val="autoZero"/>
        <c:auto val="1"/>
        <c:lblAlgn val="ctr"/>
        <c:lblOffset val="100"/>
        <c:noMultiLvlLbl val="0"/>
      </c:catAx>
      <c:valAx>
        <c:axId val="390268032"/>
        <c:scaling>
          <c:orientation val="minMax"/>
        </c:scaling>
        <c:delete val="0"/>
        <c:axPos val="l"/>
        <c:majorGridlines/>
        <c:title>
          <c:tx>
            <c:rich>
              <a:bodyPr rot="0" vert="horz"/>
              <a:lstStyle/>
              <a:p>
                <a:pPr>
                  <a:defRPr/>
                </a:pPr>
                <a:r>
                  <a:rPr lang="en-US"/>
                  <a:t>ms</a:t>
                </a:r>
                <a:endParaRPr lang="ru-RU"/>
              </a:p>
            </c:rich>
          </c:tx>
          <c:layout>
            <c:manualLayout>
              <c:xMode val="edge"/>
              <c:yMode val="edge"/>
              <c:x val="3.5886818495514158E-2"/>
              <c:y val="1.8305527900966383E-2"/>
            </c:manualLayout>
          </c:layout>
          <c:overlay val="0"/>
        </c:title>
        <c:numFmt formatCode="General" sourceLinked="1"/>
        <c:majorTickMark val="out"/>
        <c:minorTickMark val="none"/>
        <c:tickLblPos val="nextTo"/>
        <c:crossAx val="390192512"/>
        <c:crosses val="autoZero"/>
        <c:crossBetween val="between"/>
      </c:valAx>
    </c:plotArea>
    <c:legend>
      <c:legendPos val="r"/>
      <c:overlay val="0"/>
    </c:legend>
    <c:plotVisOnly val="1"/>
    <c:dispBlanksAs val="gap"/>
    <c:showDLblsOverMax val="0"/>
  </c:chart>
  <c:spPr>
    <a:ln>
      <a:miter lim="800000"/>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413B-9C91-4AA0-92E0-6E5424E8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19</Pages>
  <Words>5775</Words>
  <Characters>32922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dove</cp:lastModifiedBy>
  <cp:revision>19</cp:revision>
  <cp:lastPrinted>2016-12-30T05:16:00Z</cp:lastPrinted>
  <dcterms:created xsi:type="dcterms:W3CDTF">2018-04-25T21:46:00Z</dcterms:created>
  <dcterms:modified xsi:type="dcterms:W3CDTF">2018-06-27T15:21:00Z</dcterms:modified>
</cp:coreProperties>
</file>